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0F39" w14:textId="77777777" w:rsidR="00213A05" w:rsidRDefault="00823726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 wp14:anchorId="37C9CAC8" wp14:editId="53752E93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85C540" w14:textId="77777777" w:rsidR="00213A05" w:rsidRDefault="0082372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4CECFFEA" w14:textId="77777777" w:rsidR="00213A05" w:rsidRDefault="0082372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3B22A1C7" w14:textId="77777777" w:rsidR="00213A05" w:rsidRDefault="00213A05">
                            <w:pPr>
                              <w:textDirection w:val="btLr"/>
                            </w:pPr>
                          </w:p>
                          <w:p w14:paraId="3AA52D1B" w14:textId="77777777" w:rsidR="00213A05" w:rsidRDefault="0082372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BBFCEF" w14:textId="77777777" w:rsidR="00213A05" w:rsidRDefault="00213A05"/>
    <w:p w14:paraId="4BE346FF" w14:textId="77777777" w:rsidR="00213A05" w:rsidRDefault="00213A05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213A05" w14:paraId="296C6920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69278D3C" w14:textId="77777777" w:rsidR="00213A05" w:rsidRDefault="0082372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2D622684" w14:textId="77777777" w:rsidR="00213A05" w:rsidRDefault="0082372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213A05" w14:paraId="5F6B2084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3F09BBEE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701C25B" w14:textId="77777777" w:rsidR="0002383E" w:rsidRPr="0002383E" w:rsidRDefault="0002383E" w:rsidP="0002383E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2383E">
              <w:rPr>
                <w:rFonts w:ascii="Calibri" w:eastAsia="Calibri" w:hAnsi="Calibri" w:cs="Calibri"/>
                <w:b/>
                <w:sz w:val="20"/>
                <w:szCs w:val="20"/>
              </w:rPr>
              <w:t>Dr hab. Kamila Jankowiak-Siuda prof. Uniwersytetu SWPS,</w:t>
            </w:r>
          </w:p>
          <w:p w14:paraId="737B61FD" w14:textId="1C1D7523" w:rsidR="00213A05" w:rsidRDefault="00213A05" w:rsidP="0002383E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13A05" w14:paraId="4EC57F37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2BCB60AA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6CF0D20" w14:textId="77777777" w:rsidR="00213A05" w:rsidRDefault="0002383E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2383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Centrum Neuronauki Behawioralnej, </w:t>
            </w:r>
          </w:p>
          <w:p w14:paraId="34482523" w14:textId="7D40278C" w:rsidR="0060788D" w:rsidRDefault="0060788D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88D">
              <w:rPr>
                <w:rFonts w:ascii="Calibri" w:eastAsia="Calibri" w:hAnsi="Calibri" w:cs="Calibri"/>
                <w:b/>
                <w:sz w:val="20"/>
                <w:szCs w:val="20"/>
              </w:rPr>
              <w:t>https://swps.pl/naukai-badania/poznaj-nasz-potencjal/centra-badawcze/874- instytuty-naukowe/instytut-psychologii/centra-ilaboratoria/28441-centrum-neuronauki-behawioralnej</w:t>
            </w:r>
          </w:p>
        </w:tc>
      </w:tr>
      <w:tr w:rsidR="00213A05" w14:paraId="74669F64" w14:textId="77777777">
        <w:trPr>
          <w:trHeight w:val="340"/>
        </w:trPr>
        <w:tc>
          <w:tcPr>
            <w:tcW w:w="4995" w:type="dxa"/>
          </w:tcPr>
          <w:p w14:paraId="09AE301C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3EFEF8C4" w14:textId="77777777" w:rsidR="0060788D" w:rsidRDefault="0060788D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E192EB" w14:textId="77777777" w:rsidR="0060788D" w:rsidRPr="0060788D" w:rsidRDefault="0060788D" w:rsidP="00F64B0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0788D">
              <w:rPr>
                <w:rFonts w:ascii="Calibri" w:eastAsia="Calibri" w:hAnsi="Calibri" w:cs="Calibri"/>
                <w:sz w:val="20"/>
                <w:szCs w:val="20"/>
              </w:rPr>
              <w:t xml:space="preserve">https://orcid.org/0000-0002-0210-2487, </w:t>
            </w:r>
          </w:p>
          <w:p w14:paraId="4DF2FEF1" w14:textId="77777777" w:rsidR="0060788D" w:rsidRPr="0060788D" w:rsidRDefault="0060788D" w:rsidP="00F64B0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0788D">
              <w:rPr>
                <w:rFonts w:ascii="Calibri" w:eastAsia="Calibri" w:hAnsi="Calibri" w:cs="Calibri"/>
                <w:sz w:val="20"/>
                <w:szCs w:val="20"/>
              </w:rPr>
              <w:t>https://www.researchgate.net/profile/Kamila-Jankowiak-Siuda</w:t>
            </w:r>
          </w:p>
          <w:p w14:paraId="4E02E223" w14:textId="77777777" w:rsidR="00F64B05" w:rsidRDefault="00F64B05" w:rsidP="00F64B0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997792" w14:textId="3F1CC6C9" w:rsidR="0060788D" w:rsidRPr="0060788D" w:rsidRDefault="0060788D" w:rsidP="00F64B0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0788D">
              <w:rPr>
                <w:rFonts w:ascii="Calibri" w:eastAsia="Calibri" w:hAnsi="Calibri" w:cs="Calibri"/>
                <w:sz w:val="20"/>
                <w:szCs w:val="20"/>
              </w:rPr>
              <w:t>Ostatnie Publikacje:</w:t>
            </w:r>
          </w:p>
          <w:p w14:paraId="408D17E5" w14:textId="77777777" w:rsidR="0060788D" w:rsidRPr="0081609F" w:rsidRDefault="0060788D" w:rsidP="00F64B05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0788D">
              <w:rPr>
                <w:rFonts w:ascii="Calibri" w:eastAsia="Calibri" w:hAnsi="Calibri" w:cs="Calibri"/>
                <w:sz w:val="20"/>
                <w:szCs w:val="20"/>
              </w:rPr>
              <w:t xml:space="preserve">Duszyk-Bogorodzka, A., Zieleniewska, M., &amp; Jankowiak-Siuda, K. (2022). </w:t>
            </w:r>
            <w:r w:rsidRPr="0060788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Brain Activity Characteristics of Patients With Disorders of Consciousness in the EEG Resting State Paradigm: A Review. </w:t>
            </w:r>
            <w:r w:rsidRPr="0081609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Frontiers in Systems Neuroscience, 16.</w:t>
            </w:r>
          </w:p>
          <w:p w14:paraId="2E81155F" w14:textId="77777777" w:rsidR="0060788D" w:rsidRPr="0081609F" w:rsidRDefault="0060788D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F6C9EC7" w14:textId="78AB4BB0" w:rsidR="0060788D" w:rsidRDefault="0081609F" w:rsidP="0081609F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1609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Schimmelpfennig, J., Topczewski, J., Zajkowski, W., &amp; Jankowiak-Siuda, K. (2023). The role of the salience network in cognitive and affective deficits. </w:t>
            </w:r>
            <w:r w:rsidRPr="0081609F">
              <w:rPr>
                <w:rFonts w:ascii="Calibri" w:eastAsia="Calibri" w:hAnsi="Calibri" w:cs="Calibri"/>
                <w:sz w:val="20"/>
                <w:szCs w:val="20"/>
              </w:rPr>
              <w:t>Frontiers in human neuroscience, 17, 1133367.</w:t>
            </w:r>
          </w:p>
          <w:p w14:paraId="6010BC9D" w14:textId="77777777" w:rsidR="0060788D" w:rsidRDefault="0060788D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784E74" w14:textId="35141FB2" w:rsidR="0060788D" w:rsidRDefault="0060788D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A05" w14:paraId="7F06F572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1FFDA4DC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0AA4431" w14:textId="7FF6FFC7" w:rsidR="00213A05" w:rsidRDefault="0002383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213A05" w14:paraId="62CCD275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49031AF6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C71B3AD" w14:textId="68AB4D10" w:rsidR="0081609F" w:rsidRPr="0081609F" w:rsidRDefault="0081609F" w:rsidP="0081609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1609F">
              <w:rPr>
                <w:rFonts w:ascii="Calibri" w:eastAsia="Calibri" w:hAnsi="Calibri" w:cs="Calibri"/>
                <w:sz w:val="20"/>
                <w:szCs w:val="20"/>
              </w:rPr>
              <w:t>Prowadzone badania: czynniki psychologiczne modulujące poziom empatii – perspektywa psychofizjologiczna (płeć, wiek, atrakcyjność fizyczna itd.); analiza siły funkcjonalnych połączeń w trakcie reakcji empatycznej na ból u osób wysoce wrażliwych w przetwarzaniu bodźców sensorycznych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Sieć istotności a interocepcja. </w:t>
            </w:r>
          </w:p>
          <w:p w14:paraId="2106CEE3" w14:textId="77777777" w:rsidR="0081609F" w:rsidRPr="0081609F" w:rsidRDefault="0081609F" w:rsidP="0081609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1609F">
              <w:rPr>
                <w:rFonts w:ascii="Calibri" w:eastAsia="Calibri" w:hAnsi="Calibri" w:cs="Calibri"/>
                <w:sz w:val="20"/>
                <w:szCs w:val="20"/>
              </w:rPr>
              <w:t>Psychofizjologiczne korelaty świadomości</w:t>
            </w:r>
          </w:p>
          <w:p w14:paraId="1D3BA88B" w14:textId="2C5D18BF" w:rsidR="0081609F" w:rsidRDefault="0081609F" w:rsidP="0081609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1609F">
              <w:rPr>
                <w:rFonts w:ascii="Calibri" w:eastAsia="Calibri" w:hAnsi="Calibri" w:cs="Calibri"/>
                <w:sz w:val="20"/>
                <w:szCs w:val="20"/>
              </w:rPr>
              <w:t>Dynamika reakcji empatycznej na ból fizyczny vs ból społeczny; Wpływ przyjmowania perspektywy własnej i cudzej na empatię bólu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 zależności od poziomu lęku</w:t>
            </w:r>
            <w:r w:rsidRPr="0081609F">
              <w:rPr>
                <w:rFonts w:ascii="Calibri" w:eastAsia="Calibri" w:hAnsi="Calibri" w:cs="Calibri"/>
                <w:sz w:val="20"/>
                <w:szCs w:val="20"/>
              </w:rPr>
              <w:t xml:space="preserve">; Poziom oceny percepcji bólu a reagowanie empatyczne na ból innych.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Wpływ DMT na poziom empatii i przyjmowania perspektywy.</w:t>
            </w:r>
            <w:r>
              <w:t xml:space="preserve"> </w:t>
            </w:r>
            <w:r w:rsidRPr="0081609F">
              <w:rPr>
                <w:rFonts w:ascii="Calibri" w:eastAsia="Calibri" w:hAnsi="Calibri" w:cs="Calibri"/>
                <w:sz w:val="20"/>
                <w:szCs w:val="20"/>
              </w:rPr>
              <w:t>Elektrofizjologiczne wskaźniki cyberdelicznego doświadczenia w VR: wirtualne substytuty terapii psychodelicznej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72E35A6" w14:textId="6143FCE8" w:rsidR="00213A05" w:rsidRDefault="00213A05" w:rsidP="0081609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A05" w14:paraId="2503ED39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66B2B256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38998DCA" w14:textId="7CC7B670" w:rsidR="00213A05" w:rsidRDefault="0081609F" w:rsidP="0081609F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Wpływ cyberdelicznego doświadczenia w VR na poziom empatii. Psychofizjologiczne podstawy reakcji empatycznej na ból fizyczny vs psychologiczny. </w:t>
            </w:r>
          </w:p>
          <w:p w14:paraId="7070734B" w14:textId="39421E84" w:rsidR="0081609F" w:rsidRDefault="0081609F" w:rsidP="0081609F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A05" w14:paraId="02CDB967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22B0699E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które promotor/opiekun naukowy byłby w stanie przyjąć w efekcie rekrutacji w r.a.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4D097EE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16174E1" w14:textId="7F7E4D48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0788D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213A05" w14:paraId="605178A4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294E59D8" w14:textId="77777777" w:rsidR="00213A05" w:rsidRDefault="00213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DD97A81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3D78D5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213A05" w14:paraId="7C36DA77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08E0FAF" w14:textId="77777777" w:rsidR="00213A05" w:rsidRDefault="00213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4FC79D3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MNiSW)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4DA77E7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213A05" w14:paraId="1EB8E8BE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5F6809AE" w14:textId="77777777" w:rsidR="00213A05" w:rsidRDefault="00213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5483B31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F139E9E" w14:textId="45909FD3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0788D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213A05" w14:paraId="0D2F0E5D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36C59698" w14:textId="77777777" w:rsidR="00213A05" w:rsidRDefault="00823726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552F0954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0885B9A1" w14:textId="16E7DAE4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0788D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213A05" w14:paraId="6FF293EA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6146B417" w14:textId="77777777" w:rsidR="00213A05" w:rsidRDefault="00213A05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7077B9EF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3C24EF06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213A05" w14:paraId="25BC44FE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482176F0" w14:textId="77777777" w:rsidR="00213A05" w:rsidRDefault="00213A05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46DCA3A3" w14:textId="77777777" w:rsidR="00213A05" w:rsidRDefault="00823726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197E84E0" w14:textId="77777777" w:rsidR="00213A05" w:rsidRDefault="0082372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213A05" w14:paraId="53E6B873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42AF7FEB" w14:textId="77777777" w:rsidR="00213A05" w:rsidRDefault="00213A05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61CB2453" w14:textId="77777777" w:rsidR="00213A05" w:rsidRDefault="00213A0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493D68B5" w14:textId="77777777" w:rsidR="00213A05" w:rsidRDefault="00213A0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A05" w14:paraId="5ED78AD4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553F05AB" w14:textId="77777777" w:rsidR="00213A05" w:rsidRDefault="00823726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6DC94E8E" w14:textId="7FA7D8A5" w:rsidR="00213A05" w:rsidRDefault="0081609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(rola promotora pomocniczego</w:t>
            </w:r>
            <w:r w:rsidR="00A102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213A05" w14:paraId="4348B107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0DF5E0ED" w14:textId="77777777" w:rsidR="00213A05" w:rsidRDefault="00823726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CC2ABE1" w14:textId="77777777" w:rsidR="00213A05" w:rsidRDefault="00213A0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A05" w14:paraId="7E522FB4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56BC2EA9" w14:textId="77777777" w:rsidR="00213A05" w:rsidRDefault="0082372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0C56F06D" w14:textId="77777777" w:rsidR="00213A05" w:rsidRDefault="0082372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213A05" w14:paraId="5CC7E77F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31FD0FBE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powinien(-nna)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561870E1" w14:textId="77777777" w:rsidR="0081609F" w:rsidRPr="0081609F" w:rsidRDefault="0081609F" w:rsidP="0081609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1609F">
              <w:rPr>
                <w:rFonts w:ascii="Calibri" w:eastAsia="Calibri" w:hAnsi="Calibri" w:cs="Calibri"/>
                <w:sz w:val="20"/>
                <w:szCs w:val="20"/>
              </w:rPr>
              <w:t>Zainteresowania: neuronauka behawioralna, neurokogntiywistyka, udział w konferencjach krajowych i międzynarodowych, mile widziana publikacja, praktyki w Centrum Badawczym lub w Instytucie Badawczym, kompetencje badawcze: programowanie i analiza danych psychofizjologicznych (szczególnie metod analizy sygnału EEG oraz praktyczna umiejętność ich użytkowania, znajomość oprogramowania PsychoPy, MatLab, Python, znajomość teoretyczna i praktyczna rejestracji EEG</w:t>
            </w:r>
          </w:p>
          <w:p w14:paraId="5451AF88" w14:textId="02AF4C5F" w:rsidR="00213A05" w:rsidRDefault="0081609F" w:rsidP="0081609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1609F">
              <w:rPr>
                <w:rFonts w:ascii="Calibri" w:eastAsia="Calibri" w:hAnsi="Calibri" w:cs="Calibri"/>
                <w:sz w:val="20"/>
                <w:szCs w:val="20"/>
              </w:rPr>
              <w:t>wysoka dyspozycyjność, bardzo dobra znajomość języka angielskiego (minimum poziom B2), kompetencje społeczne, wysoki poziom kultury osobistej</w:t>
            </w:r>
          </w:p>
        </w:tc>
      </w:tr>
      <w:tr w:rsidR="00213A05" w14:paraId="68D45ABE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7C08CCF9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8AC647D" w14:textId="2834B848" w:rsidR="00213A05" w:rsidRDefault="00823726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1609F">
              <w:rPr>
                <w:rFonts w:ascii="MS Gothic" w:eastAsia="MS Gothic" w:hAnsi="MS Gothic" w:cs="MS Gothic"/>
                <w:sz w:val="20"/>
                <w:szCs w:val="20"/>
                <w:highlight w:val="black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e-mail:_</w:t>
            </w:r>
            <w:r w:rsidR="0060788D">
              <w:rPr>
                <w:rFonts w:ascii="Calibri" w:eastAsia="Calibri" w:hAnsi="Calibri" w:cs="Calibri"/>
                <w:i/>
                <w:sz w:val="20"/>
                <w:szCs w:val="20"/>
              </w:rPr>
              <w:t>kjankowiak-siuda@swps.edu.pl</w:t>
            </w:r>
          </w:p>
          <w:p w14:paraId="08980F51" w14:textId="77777777" w:rsidR="00213A05" w:rsidRDefault="00823726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14:paraId="4C904C4C" w14:textId="6F59DDC9" w:rsidR="00213A05" w:rsidRDefault="00823726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1609F">
              <w:rPr>
                <w:rFonts w:ascii="MS Gothic" w:eastAsia="MS Gothic" w:hAnsi="MS Gothic" w:cs="MS Gothic"/>
                <w:sz w:val="20"/>
                <w:szCs w:val="20"/>
                <w:highlight w:val="black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</w:t>
            </w:r>
          </w:p>
          <w:p w14:paraId="56CBF073" w14:textId="77777777" w:rsidR="00213A05" w:rsidRDefault="0082372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213A05" w14:paraId="3D90F4BF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35AA2B9A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5C578118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40060DE" w14:textId="77777777" w:rsidR="00213A05" w:rsidRDefault="00213A0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A05" w14:paraId="411A21C2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7D0A23E4" w14:textId="77777777" w:rsidR="00213A05" w:rsidRDefault="0082372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uniemożliwiającej kandydatom/-kom kontakt z potencjalnym promotorem/-ką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090FE03C" w14:textId="5898F97B" w:rsidR="00213A05" w:rsidRDefault="00A1023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Urlop sierpień 2024</w:t>
            </w:r>
          </w:p>
        </w:tc>
      </w:tr>
    </w:tbl>
    <w:p w14:paraId="228DDFA7" w14:textId="77777777" w:rsidR="00213A05" w:rsidRDefault="00213A05">
      <w:pPr>
        <w:jc w:val="both"/>
      </w:pPr>
    </w:p>
    <w:sectPr w:rsidR="00213A05">
      <w:footerReference w:type="default" r:id="rId8"/>
      <w:headerReference w:type="first" r:id="rId9"/>
      <w:footerReference w:type="first" r:id="rId10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F1B8" w14:textId="77777777" w:rsidR="00823726" w:rsidRDefault="00823726">
      <w:r>
        <w:separator/>
      </w:r>
    </w:p>
  </w:endnote>
  <w:endnote w:type="continuationSeparator" w:id="0">
    <w:p w14:paraId="774FD649" w14:textId="77777777" w:rsidR="00823726" w:rsidRDefault="0082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8B69" w14:textId="77777777" w:rsidR="00213A05" w:rsidRDefault="0082372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2383E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4F2E" w14:textId="77777777" w:rsidR="00213A05" w:rsidRDefault="0082372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2383E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99A2" w14:textId="77777777" w:rsidR="00823726" w:rsidRDefault="00823726">
      <w:r>
        <w:separator/>
      </w:r>
    </w:p>
  </w:footnote>
  <w:footnote w:type="continuationSeparator" w:id="0">
    <w:p w14:paraId="5DE4FD3E" w14:textId="77777777" w:rsidR="00823726" w:rsidRDefault="0082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7E0F" w14:textId="77777777" w:rsidR="00213A05" w:rsidRDefault="00823726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67BC591" wp14:editId="65573B2B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05"/>
    <w:rsid w:val="0002383E"/>
    <w:rsid w:val="00213A05"/>
    <w:rsid w:val="0060788D"/>
    <w:rsid w:val="0081609F"/>
    <w:rsid w:val="00823726"/>
    <w:rsid w:val="00A10232"/>
    <w:rsid w:val="00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E7D4"/>
  <w15:docId w15:val="{34CDE3E5-B863-44DD-87BE-A2E7B47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Kamila Jankowiak-Siuda</cp:lastModifiedBy>
  <cp:revision>7</cp:revision>
  <dcterms:created xsi:type="dcterms:W3CDTF">2024-03-13T20:28:00Z</dcterms:created>
  <dcterms:modified xsi:type="dcterms:W3CDTF">2024-03-13T22:15:00Z</dcterms:modified>
</cp:coreProperties>
</file>