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2E77F43" w14:textId="77777777" w:rsidR="00D1422C" w:rsidRDefault="00000000">
      <w:pPr>
        <w:spacing w:before="240" w:after="24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Cyfrowe ułatwienia na uczelniach to korzyść dla wszystkich studentów</w:t>
      </w:r>
    </w:p>
    <w:p w14:paraId="4609F80B" w14:textId="77777777" w:rsidR="00D1422C" w:rsidRDefault="00000000">
      <w:pPr>
        <w:spacing w:before="240" w:after="240"/>
        <w:jc w:val="both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Kiedy myślisz o dostępności cyfrowej, masz przed oczami czytnik ekranu dla osób niewidomych? To oczywiście dobre skojarzenie, jednak to tylko wierzchołek góry lodowej. Z rozwiązań, które zostały zaprojektowane z myślą o dostępności, każdego dnia korzystamy wszyscy – często nawet o tym nie wiedząc. W polskim środowisku akademickim walka o inkluzywność cyfrową staje się dążeniem do komfortu każdej osoby studiującej i pracującej.</w:t>
      </w:r>
    </w:p>
    <w:p w14:paraId="077D9B83" w14:textId="77777777" w:rsidR="00D1422C" w:rsidRDefault="00000000">
      <w:pPr>
        <w:spacing w:before="240" w:after="240" w:line="300" w:lineRule="auto"/>
        <w:jc w:val="both"/>
        <w:rPr>
          <w:sz w:val="20"/>
          <w:szCs w:val="20"/>
        </w:rPr>
      </w:pPr>
      <w:r>
        <w:rPr>
          <w:sz w:val="20"/>
          <w:szCs w:val="20"/>
        </w:rPr>
        <w:t>Dostępność cyfrowa to odpowiednik obniżonego krawężnika na chodniku. Choć powstał z myślą o osobach poruszających się na wózkach, to korzysta z niego rodzic z wózkiem dziecięcym, kurier dostarczający przesyłkę i rowerzysta. W świecie cyfrowym jest identycznie.</w:t>
      </w:r>
    </w:p>
    <w:p w14:paraId="78C39813" w14:textId="77777777" w:rsidR="00D1422C" w:rsidRDefault="00000000">
      <w:pPr>
        <w:spacing w:before="240" w:after="240" w:line="300" w:lineRule="auto"/>
        <w:jc w:val="both"/>
        <w:rPr>
          <w:sz w:val="20"/>
          <w:szCs w:val="20"/>
        </w:rPr>
      </w:pPr>
      <w:r>
        <w:rPr>
          <w:sz w:val="20"/>
          <w:szCs w:val="20"/>
        </w:rPr>
        <w:t>Napisy w filmach? Pomagają studentowi, który zapomniał słuchawek do pociągu.</w:t>
      </w:r>
    </w:p>
    <w:p w14:paraId="02AE068B" w14:textId="77777777" w:rsidR="00D1422C" w:rsidRDefault="00000000">
      <w:pPr>
        <w:spacing w:before="240" w:after="240" w:line="300" w:lineRule="auto"/>
        <w:jc w:val="both"/>
        <w:rPr>
          <w:sz w:val="20"/>
          <w:szCs w:val="20"/>
        </w:rPr>
      </w:pPr>
      <w:r>
        <w:rPr>
          <w:sz w:val="20"/>
          <w:szCs w:val="20"/>
        </w:rPr>
        <w:t>Wysoki kontrast strony? Pozwala na naukę w pełnym słońcu na uczelnianym dziedzińcu.</w:t>
      </w:r>
    </w:p>
    <w:p w14:paraId="693DBCDD" w14:textId="77777777" w:rsidR="00D1422C" w:rsidRDefault="00000000">
      <w:pPr>
        <w:spacing w:before="240" w:after="240" w:line="300" w:lineRule="auto"/>
        <w:jc w:val="both"/>
        <w:rPr>
          <w:sz w:val="20"/>
          <w:szCs w:val="20"/>
        </w:rPr>
      </w:pPr>
      <w:r>
        <w:rPr>
          <w:sz w:val="20"/>
          <w:szCs w:val="20"/>
        </w:rPr>
        <w:t>Logiczna struktura dokumentu? Ułatwia szybkie wzrokowe przeskanowanie tekstu każdemu, kto szuka konkretnej informacji i ma mało czasu.</w:t>
      </w:r>
    </w:p>
    <w:p w14:paraId="0083573D" w14:textId="77777777" w:rsidR="00D1422C" w:rsidRDefault="00000000">
      <w:pPr>
        <w:spacing w:before="240" w:after="240" w:line="300" w:lineRule="auto"/>
        <w:jc w:val="both"/>
        <w:rPr>
          <w:sz w:val="20"/>
          <w:szCs w:val="20"/>
        </w:rPr>
      </w:pPr>
      <w:r>
        <w:rPr>
          <w:b/>
          <w:bCs/>
          <w:sz w:val="20"/>
          <w:szCs w:val="20"/>
        </w:rPr>
        <w:t>Nie tylko dla osób ze szczególnymi potrzebami</w:t>
      </w:r>
    </w:p>
    <w:p w14:paraId="49B66752" w14:textId="77777777" w:rsidR="00D1422C" w:rsidRDefault="00000000">
      <w:pPr>
        <w:spacing w:before="240" w:after="240" w:line="300" w:lineRule="auto"/>
        <w:jc w:val="both"/>
        <w:rPr>
          <w:sz w:val="20"/>
          <w:szCs w:val="20"/>
        </w:rPr>
      </w:pPr>
      <w:r>
        <w:rPr>
          <w:sz w:val="20"/>
          <w:szCs w:val="20"/>
        </w:rPr>
        <w:t>Zgodnie z ustawą Prawo o szkolnictwie wyższym i nauce (Art. 11, ust. 1 pkt. 6), uczelnie muszą stwarzać osobom z niepełnosprawnościami warunki do pełnego udziału w kształceniu. Jednak projektując dla osób ze szczególnymi potrzebami, w rzeczywistości projektujemy lepiej dla wszystkich.</w:t>
      </w:r>
    </w:p>
    <w:p w14:paraId="75A69C6A" w14:textId="77777777" w:rsidR="00D1422C" w:rsidRDefault="00000000">
      <w:pPr>
        <w:spacing w:before="240" w:after="240" w:line="300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– Osiągnięcia akademickie nie zależą wyłącznie od zdolności czy motywacji osoby studiującej. Jednym z ich źródeł jest także dobrze – lub źle – zaprojektowane otoczenie, które albo wspiera, albo nakłada zbędny wysiłek organizacyjny, poznawczy i emocjonalny. Zamiast skupiać się na realizacji wymagań procesu kształcenia, przy </w:t>
      </w:r>
      <w:r>
        <w:rPr>
          <w:sz w:val="20"/>
          <w:szCs w:val="20"/>
        </w:rPr>
        <w:lastRenderedPageBreak/>
        <w:t>braku dostępnych rozwiązań, osoby studiujące muszą marnować czas i zasoby na wyszukiwanie informacji, dopytywanie, czy wielokrotne wyjaśnienie swojej sytuacji kolejnym osobom z różnych jednostek uczelni. Dostępność cyfrowa polega właśnie na redukowaniu tych obciążeń. Projektując rozwiązania cyfrowe zgodnie ze standardami dostępności, nie działamy wyłącznie z myślą o osobach z niepełnosprawnościami. Tworzymy środowisko bardziej intuicyjne, przewidywalne i czytelne dla wszystkich – tłumaczy dr Anna Ziółkowska, prof. Uniwersytetu SWPS, kierownik Centrum Rozwoju Kompetencji Akademickich.</w:t>
      </w:r>
    </w:p>
    <w:p w14:paraId="13CB7BD5" w14:textId="77777777" w:rsidR="00D1422C" w:rsidRDefault="00000000">
      <w:pPr>
        <w:spacing w:before="240" w:after="240" w:line="300" w:lineRule="auto"/>
        <w:jc w:val="both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Stan polskich uniwersytetów</w:t>
      </w:r>
    </w:p>
    <w:p w14:paraId="005A4E75" w14:textId="7FB4DA64" w:rsidR="00D1422C" w:rsidRDefault="00000000">
      <w:pPr>
        <w:spacing w:before="240" w:after="240" w:line="300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Mimo oczywistych korzyści, rzeczywistość na polskich uczelniach wciąż daleka jest od ideału. Raport </w:t>
      </w:r>
      <w:r>
        <w:rPr>
          <w:rFonts w:ascii="Roboto" w:eastAsia="Roboto" w:hAnsi="Roboto" w:cs="Roboto"/>
          <w:color w:val="444746"/>
          <w:sz w:val="20"/>
          <w:szCs w:val="20"/>
          <w:highlight w:val="white"/>
        </w:rPr>
        <w:t>„</w:t>
      </w:r>
      <w:r>
        <w:rPr>
          <w:sz w:val="20"/>
          <w:szCs w:val="20"/>
        </w:rPr>
        <w:t xml:space="preserve">Ambiscale WCAG: Strony Internetowe Uczelni Wyższych w Polsce” z lutego 2025 r. pokazuje, że tylko 6 proc. witryn uniwersyteckich jest wolnych od błędów krytycznych. Badanie 309 szkół wyższych ujawniło, że połowa stron uczelni publicznych i aż 62 proc. niepublicznych </w:t>
      </w:r>
      <w:r w:rsidR="003500E7">
        <w:rPr>
          <w:sz w:val="20"/>
          <w:szCs w:val="20"/>
        </w:rPr>
        <w:t>ma</w:t>
      </w:r>
      <w:r>
        <w:rPr>
          <w:sz w:val="20"/>
          <w:szCs w:val="20"/>
        </w:rPr>
        <w:t xml:space="preserve"> bariery, które utrudniają dostęp do podstawowych informacji. Najczęstsze błędy to nielogiczna kolejność elementów czy niejasne linki. Frustrują wszystkich użytkowników, nie tylko tych z niepełnosprawnością.</w:t>
      </w:r>
    </w:p>
    <w:p w14:paraId="23809B33" w14:textId="77777777" w:rsidR="00D1422C" w:rsidRDefault="00000000">
      <w:pPr>
        <w:spacing w:before="240" w:after="240" w:line="300" w:lineRule="auto"/>
        <w:jc w:val="both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Kogo wykluczamy? Statystyki dają do myślenia</w:t>
      </w:r>
    </w:p>
    <w:p w14:paraId="17CEABF4" w14:textId="7FB9C485" w:rsidR="00D1422C" w:rsidRDefault="00000000">
      <w:pPr>
        <w:spacing w:before="240" w:after="240" w:line="300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W marcu 2026 </w:t>
      </w:r>
      <w:r w:rsidR="003500E7">
        <w:rPr>
          <w:sz w:val="20"/>
          <w:szCs w:val="20"/>
        </w:rPr>
        <w:t>r.</w:t>
      </w:r>
      <w:r>
        <w:rPr>
          <w:sz w:val="20"/>
          <w:szCs w:val="20"/>
        </w:rPr>
        <w:t xml:space="preserve"> na polskich uczelniach kształciło się ok. 23 tysięcy studentów i studentek z niepełnosprawnościami</w:t>
      </w:r>
      <w:r>
        <w:rPr>
          <w:sz w:val="20"/>
          <w:szCs w:val="20"/>
          <w:vertAlign w:val="superscript"/>
        </w:rPr>
        <w:footnoteReference w:id="1"/>
      </w:r>
      <w:r>
        <w:rPr>
          <w:sz w:val="20"/>
          <w:szCs w:val="20"/>
        </w:rPr>
        <w:t>. Jeśli jednak spojrzymy szerzej, dane GUS i Eurostatu są jeszcze bardziej wymowne:</w:t>
      </w:r>
    </w:p>
    <w:p w14:paraId="6EA768E2" w14:textId="77777777" w:rsidR="00D1422C" w:rsidRDefault="00000000">
      <w:pPr>
        <w:numPr>
          <w:ilvl w:val="0"/>
          <w:numId w:val="1"/>
        </w:numPr>
        <w:spacing w:before="240" w:line="300" w:lineRule="auto"/>
        <w:jc w:val="both"/>
        <w:rPr>
          <w:sz w:val="20"/>
          <w:szCs w:val="20"/>
        </w:rPr>
      </w:pPr>
      <w:r>
        <w:rPr>
          <w:sz w:val="20"/>
          <w:szCs w:val="20"/>
        </w:rPr>
        <w:t>W Polsce żyje ponad 160 tysięcy osób z poważnymi chorobami wzroku</w:t>
      </w:r>
      <w:r>
        <w:rPr>
          <w:sz w:val="20"/>
          <w:szCs w:val="20"/>
          <w:vertAlign w:val="superscript"/>
        </w:rPr>
        <w:footnoteReference w:id="2"/>
      </w:r>
      <w:r>
        <w:rPr>
          <w:sz w:val="20"/>
          <w:szCs w:val="20"/>
        </w:rPr>
        <w:t>.</w:t>
      </w:r>
    </w:p>
    <w:p w14:paraId="276F9D9D" w14:textId="77777777" w:rsidR="00D1422C" w:rsidRDefault="00000000">
      <w:pPr>
        <w:numPr>
          <w:ilvl w:val="0"/>
          <w:numId w:val="1"/>
        </w:numPr>
        <w:spacing w:line="300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Blisko 1,4 tysiąca osób ma niepełnosprawność ruchu i korzysta z technologii wspomagających lub specjalistycznego sprzętu. </w:t>
      </w:r>
    </w:p>
    <w:p w14:paraId="7FFE5F15" w14:textId="77777777" w:rsidR="00D1422C" w:rsidRDefault="00000000">
      <w:pPr>
        <w:numPr>
          <w:ilvl w:val="0"/>
          <w:numId w:val="1"/>
        </w:numPr>
        <w:spacing w:after="240" w:line="300" w:lineRule="auto"/>
        <w:jc w:val="both"/>
        <w:rPr>
          <w:sz w:val="20"/>
          <w:szCs w:val="20"/>
        </w:rPr>
      </w:pPr>
      <w:r>
        <w:rPr>
          <w:sz w:val="20"/>
          <w:szCs w:val="20"/>
        </w:rPr>
        <w:lastRenderedPageBreak/>
        <w:t>270 tysięcy osób z niepełnosprawnością słuchu i mowy potrzebuje informacji w polskim języku migowym, ETR (easy-to-read, czyli krótkie zdania, bez skomplikowanych fraz i metafor) lub prostym języku, napisów oraz dostępnych formularzy, by móc korzystać z treści udostępnianych w internecie</w:t>
      </w:r>
      <w:r>
        <w:rPr>
          <w:sz w:val="20"/>
          <w:szCs w:val="20"/>
          <w:vertAlign w:val="superscript"/>
        </w:rPr>
        <w:footnoteReference w:id="3"/>
      </w:r>
      <w:r>
        <w:rPr>
          <w:sz w:val="20"/>
          <w:szCs w:val="20"/>
        </w:rPr>
        <w:t>.</w:t>
      </w:r>
    </w:p>
    <w:p w14:paraId="5C929AAB" w14:textId="77777777" w:rsidR="00D1422C" w:rsidRDefault="00000000">
      <w:pPr>
        <w:spacing w:before="240" w:after="240" w:line="300" w:lineRule="auto"/>
        <w:jc w:val="both"/>
        <w:rPr>
          <w:sz w:val="20"/>
          <w:szCs w:val="20"/>
        </w:rPr>
      </w:pPr>
      <w:r>
        <w:rPr>
          <w:sz w:val="20"/>
          <w:szCs w:val="20"/>
        </w:rPr>
        <w:t>W 2024 r. aż 24 proc. ludności UE w wieku powyżej 16 lat miało jakąś formę niepełnosprawności</w:t>
      </w:r>
      <w:r>
        <w:rPr>
          <w:sz w:val="20"/>
          <w:szCs w:val="20"/>
          <w:vertAlign w:val="superscript"/>
        </w:rPr>
        <w:footnoteReference w:id="4"/>
      </w:r>
      <w:r>
        <w:rPr>
          <w:sz w:val="20"/>
          <w:szCs w:val="20"/>
        </w:rPr>
        <w:t>. To co czwarta potencjalna osoba studiująca lub pracująca. Jednak projektowanie dostępne to także wsparcie dla osób z tzw. niepełnosprawnością czasową (np. złamana ręka, zapalenie spojówek) lub sytuacyjną (wrażliwość na hałas czy jaskrawe światło).</w:t>
      </w:r>
    </w:p>
    <w:p w14:paraId="7F447DA4" w14:textId="77777777" w:rsidR="00D1422C" w:rsidRDefault="00000000">
      <w:pPr>
        <w:spacing w:before="240" w:after="240" w:line="300" w:lineRule="auto"/>
        <w:jc w:val="both"/>
        <w:rPr>
          <w:sz w:val="20"/>
          <w:szCs w:val="20"/>
        </w:rPr>
      </w:pPr>
      <w:r>
        <w:rPr>
          <w:sz w:val="20"/>
          <w:szCs w:val="20"/>
        </w:rPr>
        <w:t>– Wiele rozwiązań projektowanych jako dostosowania dla osób ze szczególnymi potrzebami w praktyce podnosi komfort wszystkich użytkowników. Dobrym przykładem jest czytelna nawigacja – zaprojektowana z myślą o osobach z trudnościami percepcyjnymi, ale równie pomocna dla każdego, kto chce szybko i bez frustracji załatwić sprawę administracyjną. Podobnie działa możliwość wskazania preferowanego kanału kontaktu: dla części osób kontakt mailowy zamiast telefonicznego redukuje stres, lecz z tego udogodnienia korzystają też wszyscy, którzy preferują pisemną wymianę informacji. Dostępność cyfrowa nie jest więc przywilejem wąskiej grupy. To standard, który sprawia, że systemy działają sprawniej, a przez to wszystkim lepiej się studiuje i pracuje – wyjaśnia dr Anna Ziółkowska.</w:t>
      </w:r>
    </w:p>
    <w:p w14:paraId="0194EF86" w14:textId="77777777" w:rsidR="00D1422C" w:rsidRDefault="00000000">
      <w:pPr>
        <w:spacing w:before="240" w:after="240" w:line="300" w:lineRule="auto"/>
        <w:jc w:val="both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Cyfrowa przyszłość zaczyna się na uczelni</w:t>
      </w:r>
    </w:p>
    <w:p w14:paraId="49B58D5E" w14:textId="77777777" w:rsidR="00D1422C" w:rsidRDefault="00000000">
      <w:pPr>
        <w:spacing w:before="240" w:after="240" w:line="300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Podmioty publiczne, w tym uczelnie, często oferują usługi, z których nie da się skorzystać nigdzie indziej. Osoba studiująca nie może wybrać „konkurencyjnego” intranetu czy systemu do składania podań. Jeśli system jest niedostępny, student zostaje wykluczony z życia akademickiego. To podnosi europejskie statystyki, według </w:t>
      </w:r>
      <w:r>
        <w:rPr>
          <w:sz w:val="20"/>
          <w:szCs w:val="20"/>
        </w:rPr>
        <w:lastRenderedPageBreak/>
        <w:t>których 1 na 5 osób z niepełnosprawnością przedwcześnie kończy naukę</w:t>
      </w:r>
      <w:r>
        <w:rPr>
          <w:sz w:val="20"/>
          <w:szCs w:val="20"/>
          <w:vertAlign w:val="superscript"/>
        </w:rPr>
        <w:footnoteReference w:id="5"/>
      </w:r>
      <w:r>
        <w:rPr>
          <w:sz w:val="20"/>
          <w:szCs w:val="20"/>
        </w:rPr>
        <w:t>.</w:t>
      </w:r>
    </w:p>
    <w:p w14:paraId="54FD3700" w14:textId="77777777" w:rsidR="00D1422C" w:rsidRDefault="00000000">
      <w:pPr>
        <w:spacing w:before="240" w:after="240" w:line="300" w:lineRule="auto"/>
        <w:jc w:val="both"/>
        <w:rPr>
          <w:sz w:val="20"/>
          <w:szCs w:val="20"/>
        </w:rPr>
      </w:pPr>
      <w:r>
        <w:rPr>
          <w:sz w:val="20"/>
          <w:szCs w:val="20"/>
        </w:rPr>
        <w:t>Dlatego właśnie projektowanie rozwiązań dostępnych jest tak ważne – dla nas wszystkich. Pierwszym krokiem, by tak się stało, jest edukacja w temacie dostępności i zmiana myślenia o tym obszarze.</w:t>
      </w:r>
    </w:p>
    <w:p w14:paraId="1133D6DE" w14:textId="77777777" w:rsidR="00D1422C" w:rsidRDefault="00000000">
      <w:pPr>
        <w:spacing w:before="240" w:after="240" w:line="300" w:lineRule="auto"/>
        <w:jc w:val="both"/>
        <w:rPr>
          <w:sz w:val="20"/>
          <w:szCs w:val="20"/>
        </w:rPr>
      </w:pPr>
      <w:r>
        <w:rPr>
          <w:sz w:val="20"/>
          <w:szCs w:val="20"/>
        </w:rPr>
        <w:t>– Kluczem w kontekście dostępności jest zmiana myślenia. Dopiero za tym idzie infrastruktura i technologia. Bo sama technologia, oderwana od sposobu myślenia o dostępności, pozostaje tylko narzędziem, które niekoniecznie będzie wykorzystywane tak, jak powinno. Więc najpierw trzeba podjąć decyzję, że chcemy być dostępni i że chcemy tworzyć środowisko odpowiadające potrzebom jak najszerszej grupy osób. A dopiero potem wdrażamy technologię i infrastrukturę, które pozwalają tę ideę zrealizować – mówi dr Ewa Dusik-Krupa, koordynatorka ds. dostępności w krakowskiej filii Uniwersytetu SWPS.</w:t>
      </w:r>
    </w:p>
    <w:p w14:paraId="0CC6AA4A" w14:textId="77777777" w:rsidR="00D1422C" w:rsidRDefault="00000000">
      <w:pPr>
        <w:spacing w:before="240" w:after="240" w:line="300" w:lineRule="auto"/>
        <w:jc w:val="both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Dołącz do Dni Dostępności na Uniwersytecie SWPS</w:t>
      </w:r>
    </w:p>
    <w:p w14:paraId="3C7F8FBB" w14:textId="77777777" w:rsidR="00D1422C" w:rsidRDefault="00000000">
      <w:pPr>
        <w:spacing w:before="240" w:after="240" w:line="300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Jak projektować świat, w którym nikt nie stoi przed zamkniętymi drzwiami? O tym porozmawiają eksperci podczas nadchodzących Dni Dostępności na Uniwersytecie SWPS. To okazja, by zobaczyć dostępność cyfrową nie przez pryzmat paragrafów, ale korzyści dla każdego z nas. Wydarzenie odbędzie się 21 maja na Uniwersytecie SWPS w Warszawie. Więcej informacji znajduje się na </w:t>
      </w:r>
      <w:hyperlink r:id="rId8">
        <w:r>
          <w:rPr>
            <w:color w:val="1155CC"/>
            <w:sz w:val="20"/>
            <w:szCs w:val="20"/>
            <w:u w:val="single"/>
          </w:rPr>
          <w:t>stronie</w:t>
        </w:r>
      </w:hyperlink>
      <w:r>
        <w:rPr>
          <w:sz w:val="20"/>
          <w:szCs w:val="20"/>
        </w:rPr>
        <w:t>.</w:t>
      </w:r>
    </w:p>
    <w:p w14:paraId="04B9D147" w14:textId="77777777" w:rsidR="00D1422C" w:rsidRDefault="00000000">
      <w:pPr>
        <w:spacing w:before="240" w:after="240" w:line="300" w:lineRule="auto"/>
        <w:jc w:val="both"/>
        <w:rPr>
          <w:sz w:val="20"/>
          <w:szCs w:val="20"/>
        </w:rPr>
      </w:pPr>
      <w:r>
        <w:rPr>
          <w:sz w:val="20"/>
          <w:szCs w:val="20"/>
        </w:rPr>
        <w:t>Dni Dostępności są organizowane w ramach projektu „Mój USWPS – Uczelnia coraz bardziej dostępna”, finansowanego ze środków programu Fundusze Europejskie dla Rozwoju Społecznego. To już druga edycja wydarzenia.</w:t>
      </w:r>
    </w:p>
    <w:p w14:paraId="679E4A30" w14:textId="77777777" w:rsidR="00D1422C" w:rsidRDefault="00000000">
      <w:pPr>
        <w:widowControl/>
        <w:spacing w:line="276" w:lineRule="auto"/>
        <w:jc w:val="both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****</w:t>
      </w:r>
    </w:p>
    <w:p w14:paraId="3E90F286" w14:textId="77777777" w:rsidR="00D1422C" w:rsidRDefault="00D1422C">
      <w:pPr>
        <w:widowControl/>
        <w:spacing w:line="276" w:lineRule="auto"/>
        <w:jc w:val="both"/>
        <w:rPr>
          <w:b/>
          <w:bCs/>
          <w:sz w:val="20"/>
          <w:szCs w:val="20"/>
        </w:rPr>
      </w:pPr>
    </w:p>
    <w:p w14:paraId="59B4C569" w14:textId="77777777" w:rsidR="00D1422C" w:rsidRDefault="00000000">
      <w:pPr>
        <w:widowControl/>
        <w:spacing w:line="276" w:lineRule="auto"/>
        <w:jc w:val="both"/>
        <w:rPr>
          <w:sz w:val="20"/>
          <w:szCs w:val="20"/>
        </w:rPr>
      </w:pPr>
      <w:r>
        <w:rPr>
          <w:b/>
          <w:bCs/>
          <w:sz w:val="20"/>
          <w:szCs w:val="20"/>
        </w:rPr>
        <w:t>Uniwersytet SWPS</w:t>
      </w:r>
      <w:r>
        <w:rPr>
          <w:sz w:val="20"/>
          <w:szCs w:val="20"/>
        </w:rPr>
        <w:t xml:space="preserve"> to nowoczesna uczelnia oparta na trwałych wartościach. Silną pozycję zawdzięcza połączeniu wysokiej jakości dydaktyki z badaniami naukowymi prowadzonymi na najwyższym poziomie. Uczelnia kształci blisko 18 tys. studentek i </w:t>
      </w:r>
      <w:r>
        <w:rPr>
          <w:sz w:val="20"/>
          <w:szCs w:val="20"/>
        </w:rPr>
        <w:lastRenderedPageBreak/>
        <w:t>studentów – w tym ponad tysiąc z zagranicy oraz ponad 4,5 tys. słuchaczek i słuchaczy studiów podyplomowych na ponad 50 kierunkach studiów stacjonarnych i ponad 40 niestacjonarnych i ok. 240 kierunkach studiów podyplomowych. Uniwersytet oferuje programy studiów z psychologii, prawa, zarządzania, dziennikarstwa, filologii, kulturoznawstwa, nowych technologii oraz grafiki i wzornictwa, a także edukację w postaci szkoleń i krótkich kursów akademickich. Uczelnia dba o wysoką wartość akademicką naszych programów oraz ich dostosowanie do wymagań zmieniającego się rynku pracy. Kampusy Uniwersytetu SWPS znajdują się w sześciu miastach: Warszawie (siedziba), Wrocławiu, Sopocie, Poznaniu, Katowicach i w Krakowie.</w:t>
      </w:r>
    </w:p>
    <w:p w14:paraId="070638F8" w14:textId="77777777" w:rsidR="00D1422C" w:rsidRDefault="00D1422C">
      <w:pPr>
        <w:widowControl/>
        <w:spacing w:line="276" w:lineRule="auto"/>
        <w:jc w:val="both"/>
        <w:rPr>
          <w:sz w:val="20"/>
          <w:szCs w:val="20"/>
        </w:rPr>
      </w:pPr>
    </w:p>
    <w:p w14:paraId="14C4442F" w14:textId="77777777" w:rsidR="00D1422C" w:rsidRDefault="00000000">
      <w:pPr>
        <w:widowControl/>
        <w:spacing w:line="276" w:lineRule="auto"/>
        <w:jc w:val="both"/>
        <w:rPr>
          <w:sz w:val="20"/>
          <w:szCs w:val="20"/>
        </w:rPr>
      </w:pPr>
      <w:r>
        <w:rPr>
          <w:sz w:val="20"/>
          <w:szCs w:val="20"/>
        </w:rPr>
        <w:t>Uczelnia posiada uprawnienia do nadawania stopnia doktora oraz doktora habilitowanego w siedmiu dyscyplinach: psychologia, nauki o kulturze i religii, literaturoznawstwo, nauki prawne, nauki socjologiczne, nauki o polityce i administracji, sztuki plastyczne i konserwacja dzieł sztuki. Na Uniwersytecie SWPS funkcjonuje pięć instytutów naukowych, które zajmują się organizacją i koordynacją działalności naukowej pracowników badawczych i badawczo-dydaktycznych uczelni w poszczególnych dyscyplinach: Instytut Psychologii, Instytut Nauk Humanistycznych, Instytut Nauk Społecznych, Instytut Prawa oraz Instytut Projektowania. W uczelni działa blisko 30 centrów badawczych oraz ponad 175 kół naukowych.</w:t>
      </w:r>
    </w:p>
    <w:p w14:paraId="48787A7E" w14:textId="77777777" w:rsidR="00D1422C" w:rsidRDefault="00D1422C">
      <w:pPr>
        <w:widowControl/>
        <w:spacing w:line="276" w:lineRule="auto"/>
        <w:jc w:val="both"/>
        <w:rPr>
          <w:sz w:val="20"/>
          <w:szCs w:val="20"/>
        </w:rPr>
      </w:pPr>
    </w:p>
    <w:p w14:paraId="51000F2F" w14:textId="77777777" w:rsidR="00D1422C" w:rsidRDefault="00000000">
      <w:pPr>
        <w:widowControl/>
        <w:spacing w:line="276" w:lineRule="auto"/>
        <w:jc w:val="both"/>
        <w:rPr>
          <w:sz w:val="20"/>
          <w:szCs w:val="20"/>
        </w:rPr>
      </w:pPr>
      <w:r>
        <w:rPr>
          <w:sz w:val="20"/>
          <w:szCs w:val="20"/>
        </w:rPr>
        <w:t>Uniwersytet SWPS należy do sojuszu European Reform University Alliance (ERUA). Jest to sojusz uczelni zawarty w ramach Inicjatywy Uniwersytetów Europejskich, powołanej i finansowanej przez Komisję Europejską.</w:t>
      </w:r>
    </w:p>
    <w:p w14:paraId="0A536EFF" w14:textId="77777777" w:rsidR="00D1422C" w:rsidRDefault="00D1422C">
      <w:pPr>
        <w:widowControl/>
        <w:spacing w:line="276" w:lineRule="auto"/>
        <w:jc w:val="both"/>
        <w:rPr>
          <w:sz w:val="20"/>
          <w:szCs w:val="20"/>
        </w:rPr>
      </w:pPr>
    </w:p>
    <w:sectPr w:rsidR="00D1422C">
      <w:headerReference w:type="even" r:id="rId9"/>
      <w:headerReference w:type="default" r:id="rId10"/>
      <w:footerReference w:type="default" r:id="rId11"/>
      <w:headerReference w:type="first" r:id="rId12"/>
      <w:pgSz w:w="11910" w:h="16840"/>
      <w:pgMar w:top="0" w:right="1701" w:bottom="2835" w:left="1701" w:header="3685" w:footer="1701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6DF8AA" w14:textId="77777777" w:rsidR="00DC7099" w:rsidRDefault="00DC7099">
      <w:r>
        <w:separator/>
      </w:r>
    </w:p>
  </w:endnote>
  <w:endnote w:type="continuationSeparator" w:id="0">
    <w:p w14:paraId="06B99A4F" w14:textId="77777777" w:rsidR="00DC7099" w:rsidRDefault="00DC70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charset w:val="EE"/>
    <w:family w:val="auto"/>
    <w:pitch w:val="variable"/>
    <w:sig w:usb0="2000020F" w:usb1="00000003" w:usb2="00000000" w:usb3="00000000" w:csb0="00000197" w:csb1="00000000"/>
    <w:embedRegular r:id="rId1" w:fontKey="{EE2D7B91-E825-4423-BFB8-79C64DEF7CC9}"/>
    <w:embedBold r:id="rId2" w:fontKey="{A19C1267-9823-4DB4-A539-EC713BDE4DB6}"/>
  </w:font>
  <w:font w:name="Allura">
    <w:charset w:val="00"/>
    <w:family w:val="auto"/>
    <w:pitch w:val="default"/>
    <w:embedRegular r:id="rId3" w:fontKey="{37626228-2269-4CD8-9032-7B593D4D830C}"/>
  </w:font>
  <w:font w:name="Georgia">
    <w:panose1 w:val="02040502050405020303"/>
    <w:charset w:val="00"/>
    <w:family w:val="auto"/>
    <w:pitch w:val="default"/>
    <w:embedItalic r:id="rId4" w:fontKey="{0F73592D-7957-48EB-BCF8-CB6081E2AE9A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5" w:fontKey="{F063BA51-26F6-4414-BF91-1685192B2F0C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7ABFBF94-0E50-4FD0-89FE-2994B1FB3F87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FC13E3E5-1A28-4704-BD5A-5288A2D6846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8CD6BA" w14:textId="77777777" w:rsidR="00D1422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</w:rPr>
      <mc:AlternateContent>
        <mc:Choice Requires="wps">
          <w:drawing>
            <wp:anchor distT="0" distB="0" distL="0" distR="0" simplePos="0" relativeHeight="251656704" behindDoc="1" locked="0" layoutInCell="1" hidden="0" allowOverlap="1" wp14:anchorId="5D1C158E" wp14:editId="1973D622">
              <wp:simplePos x="0" y="0"/>
              <wp:positionH relativeFrom="column">
                <wp:posOffset>-9522</wp:posOffset>
              </wp:positionH>
              <wp:positionV relativeFrom="paragraph">
                <wp:posOffset>9566275</wp:posOffset>
              </wp:positionV>
              <wp:extent cx="3580635" cy="436755"/>
              <wp:effectExtent l="0" t="0" r="0" b="0"/>
              <wp:wrapNone/>
              <wp:docPr id="1" name="Prostokąt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589020" y="3594960"/>
                        <a:ext cx="3513960" cy="370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029B0F9" w14:textId="77777777" w:rsidR="00D1422C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  <w:sz w:val="14"/>
                            </w:rPr>
                            <w:t>Uniwersytet SWPS</w:t>
                          </w:r>
                        </w:p>
                        <w:p w14:paraId="6A773232" w14:textId="77777777" w:rsidR="00D1422C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  <w:sz w:val="14"/>
                            </w:rPr>
                            <w:t>ul. Chodakowska 19/31, 03-815 Warszawa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5D1C158E" id="Prostokąt 1" o:spid="_x0000_s1026" style="position:absolute;margin-left:-.75pt;margin-top:753.25pt;width:281.95pt;height:34.4pt;z-index:-25165977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" filled="f" stroked="f">
              <v:textbox inset="0,0,0,0">
                <w:txbxContent>
                  <w:p w14:paraId="5029B0F9" w14:textId="77777777" w:rsidR="00D1422C" w:rsidRDefault="00000000">
                    <w:pPr>
                      <w:spacing w:line="275" w:lineRule="auto"/>
                      <w:textDirection w:val="btLr"/>
                    </w:pPr>
                    <w:r>
                      <w:rPr>
                        <w:color w:val="000000"/>
                        <w:sz w:val="14"/>
                      </w:rPr>
                      <w:t>Uniwersytet SWPS</w:t>
                    </w:r>
                  </w:p>
                  <w:p w14:paraId="6A773232" w14:textId="77777777" w:rsidR="00D1422C" w:rsidRDefault="00000000">
                    <w:pPr>
                      <w:spacing w:line="275" w:lineRule="auto"/>
                      <w:textDirection w:val="btLr"/>
                    </w:pPr>
                    <w:r>
                      <w:rPr>
                        <w:color w:val="000000"/>
                        <w:sz w:val="14"/>
                      </w:rPr>
                      <w:t>ul. Chodakowska 19/31, 03-815 Warszawa</w:t>
                    </w: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57728" behindDoc="1" locked="0" layoutInCell="1" hidden="0" allowOverlap="1" wp14:anchorId="0BEA9F43" wp14:editId="42EC76B3">
              <wp:simplePos x="0" y="0"/>
              <wp:positionH relativeFrom="column">
                <wp:posOffset>-911220</wp:posOffset>
              </wp:positionH>
              <wp:positionV relativeFrom="paragraph">
                <wp:posOffset>9820275</wp:posOffset>
              </wp:positionV>
              <wp:extent cx="968475" cy="186195"/>
              <wp:effectExtent l="0" t="0" r="0" b="0"/>
              <wp:wrapNone/>
              <wp:docPr id="2" name="Prostokąt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95100" y="3720240"/>
                        <a:ext cx="901800" cy="1195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03441AA" w14:textId="77777777" w:rsidR="00D1422C" w:rsidRDefault="00000000">
                          <w:pPr>
                            <w:spacing w:before="20"/>
                            <w:ind w:left="20" w:firstLine="140"/>
                            <w:jc w:val="right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  <w:sz w:val="14"/>
                            </w:rPr>
                            <w:t>www.swps.pl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0BEA9F43" id="Prostokąt 2" o:spid="_x0000_s1027" style="position:absolute;margin-left:-71.75pt;margin-top:773.25pt;width:76.25pt;height:14.65pt;z-index:-251658752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" filled="f" stroked="f">
              <v:textbox inset="0,0,0,0">
                <w:txbxContent>
                  <w:p w14:paraId="603441AA" w14:textId="77777777" w:rsidR="00D1422C" w:rsidRDefault="00000000">
                    <w:pPr>
                      <w:spacing w:before="20"/>
                      <w:ind w:left="20" w:firstLine="140"/>
                      <w:jc w:val="right"/>
                      <w:textDirection w:val="btLr"/>
                    </w:pPr>
                    <w:r>
                      <w:rPr>
                        <w:b/>
                        <w:color w:val="000000"/>
                        <w:sz w:val="14"/>
                      </w:rPr>
                      <w:t>www.swps.pl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F04C20" w14:textId="77777777" w:rsidR="00DC7099" w:rsidRDefault="00DC7099">
      <w:r>
        <w:separator/>
      </w:r>
    </w:p>
  </w:footnote>
  <w:footnote w:type="continuationSeparator" w:id="0">
    <w:p w14:paraId="15397A01" w14:textId="77777777" w:rsidR="00DC7099" w:rsidRDefault="00DC7099">
      <w:r>
        <w:continuationSeparator/>
      </w:r>
    </w:p>
  </w:footnote>
  <w:footnote w:id="1">
    <w:p w14:paraId="066D26BC" w14:textId="77777777" w:rsidR="00D1422C" w:rsidRDefault="00000000">
      <w:pPr>
        <w:rPr>
          <w:sz w:val="20"/>
          <w:szCs w:val="20"/>
        </w:rPr>
      </w:pPr>
      <w:r>
        <w:rPr>
          <w:vertAlign w:val="superscript"/>
        </w:rPr>
        <w:footnoteRef/>
      </w:r>
      <w:hyperlink r:id="rId1">
        <w:r>
          <w:rPr>
            <w:color w:val="1155CC"/>
            <w:sz w:val="20"/>
            <w:szCs w:val="20"/>
            <w:u w:val="single"/>
          </w:rPr>
          <w:t>https://naukawpolsce.pl/aktualnosci/news%2C112295%2Csejm-za-nowela-poszerzajaca-wsparcie-osob-z-niepelnosprawnosciami-na</w:t>
        </w:r>
      </w:hyperlink>
    </w:p>
  </w:footnote>
  <w:footnote w:id="2">
    <w:p w14:paraId="2473BC50" w14:textId="77777777" w:rsidR="00D1422C" w:rsidRDefault="00000000">
      <w:pPr>
        <w:rPr>
          <w:sz w:val="20"/>
          <w:szCs w:val="20"/>
        </w:rPr>
      </w:pPr>
      <w:r>
        <w:rPr>
          <w:vertAlign w:val="superscript"/>
        </w:rPr>
        <w:footnoteRef/>
      </w:r>
      <w:hyperlink r:id="rId2">
        <w:r>
          <w:rPr>
            <w:color w:val="1155CC"/>
            <w:sz w:val="20"/>
            <w:szCs w:val="20"/>
            <w:u w:val="single"/>
          </w:rPr>
          <w:t>https://stat.gov.pl/dla-mediow/informacje-prasowe/dzien-bialej-laski-ponad-160-tysiecy-polakow-zyje-z-chorobami-wzroku-az-4-na-10-z-nich-ma-znaczny-stopien-niepelnosprawnosci,33,1.html</w:t>
        </w:r>
      </w:hyperlink>
    </w:p>
  </w:footnote>
  <w:footnote w:id="3">
    <w:p w14:paraId="070BFD84" w14:textId="77777777" w:rsidR="00D1422C" w:rsidRDefault="00000000">
      <w:pPr>
        <w:rPr>
          <w:sz w:val="20"/>
          <w:szCs w:val="20"/>
        </w:rPr>
      </w:pPr>
      <w:r>
        <w:rPr>
          <w:vertAlign w:val="superscript"/>
        </w:rPr>
        <w:footnoteRef/>
      </w:r>
      <w:hyperlink r:id="rId3">
        <w:r>
          <w:rPr>
            <w:color w:val="1155CC"/>
            <w:sz w:val="20"/>
            <w:szCs w:val="20"/>
            <w:u w:val="single"/>
          </w:rPr>
          <w:t>https://stat.gov.pl/obszary-tematyczne/warunki-zycia/ubostwo-pomoc-spoleczna/osoby-niepelnosprawne-w-2024-r-,26,7.html</w:t>
        </w:r>
      </w:hyperlink>
    </w:p>
  </w:footnote>
  <w:footnote w:id="4">
    <w:p w14:paraId="72096A1F" w14:textId="77777777" w:rsidR="00D1422C" w:rsidRDefault="00000000">
      <w:pPr>
        <w:rPr>
          <w:sz w:val="20"/>
          <w:szCs w:val="20"/>
        </w:rPr>
      </w:pPr>
      <w:r>
        <w:rPr>
          <w:vertAlign w:val="superscript"/>
        </w:rPr>
        <w:footnoteRef/>
      </w:r>
      <w:hyperlink r:id="rId4">
        <w:r>
          <w:rPr>
            <w:color w:val="1155CC"/>
            <w:sz w:val="20"/>
            <w:szCs w:val="20"/>
            <w:u w:val="single"/>
          </w:rPr>
          <w:t xml:space="preserve"> https://www.consilium.europa.eu/pl/infographics/disability-eu-facts-figures/</w:t>
        </w:r>
      </w:hyperlink>
    </w:p>
  </w:footnote>
  <w:footnote w:id="5">
    <w:p w14:paraId="6E3917CD" w14:textId="77777777" w:rsidR="00D1422C" w:rsidRDefault="00000000">
      <w:pPr>
        <w:rPr>
          <w:sz w:val="20"/>
          <w:szCs w:val="20"/>
        </w:rPr>
      </w:pPr>
      <w:r>
        <w:rPr>
          <w:vertAlign w:val="superscript"/>
        </w:rPr>
        <w:footnoteRef/>
      </w:r>
      <w:hyperlink r:id="rId5">
        <w:r>
          <w:rPr>
            <w:color w:val="1155CC"/>
            <w:sz w:val="20"/>
            <w:szCs w:val="20"/>
            <w:u w:val="single"/>
          </w:rPr>
          <w:t xml:space="preserve"> https://www.consilium.europa.eu/pl/infographics/disability-eu-facts-figures/</w:t>
        </w:r>
      </w:hyperlink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3E3C71" w14:textId="77777777" w:rsidR="00D1422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4D9B473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5" type="#_x0000_t75" alt="" style="position:absolute;margin-left:0;margin-top:0;width:441.9pt;height:625.15pt;z-index:-251656704;mso-position-horizontal:center;mso-position-horizontal-relative:margin;mso-position-vertical:center;mso-position-vertical-relative:margin">
          <v:imagedata r:id="rId1" o:title="image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C54A63" w14:textId="77777777" w:rsidR="00D1422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5680" behindDoc="1" locked="0" layoutInCell="1" hidden="0" allowOverlap="1" wp14:anchorId="5908FD4C" wp14:editId="48EA3C67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760" cy="10692000"/>
          <wp:effectExtent l="0" t="0" r="0" b="0"/>
          <wp:wrapNone/>
          <wp:docPr id="3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6760" cy="10692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90ED16" w14:textId="77777777" w:rsidR="00D1422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0492951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26" type="#_x0000_t75" alt="" style="position:absolute;margin-left:0;margin-top:0;width:441.9pt;height:625.15pt;z-index:-251657728;mso-position-horizontal:center;mso-position-horizontal-relative:margin;mso-position-vertical:center;mso-position-vertical-relative:margin">
          <v:imagedata r:id="rId1" o:title="image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6B85C64"/>
    <w:multiLevelType w:val="multilevel"/>
    <w:tmpl w:val="6C04642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43621800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1422C"/>
    <w:rsid w:val="003500E7"/>
    <w:rsid w:val="00C528C2"/>
    <w:rsid w:val="00D1422C"/>
    <w:rsid w:val="00DC70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F29CAF0"/>
  <w15:docId w15:val="{D7A57179-3E61-407B-9E3C-DBAA52B95F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Montserrat" w:eastAsia="Montserrat" w:hAnsi="Montserrat" w:cs="Montserrat"/>
        <w:sz w:val="22"/>
        <w:szCs w:val="22"/>
        <w:lang w:val="en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25"/>
      <w:ind w:left="20"/>
    </w:pPr>
    <w:rPr>
      <w:rFonts w:ascii="Allura" w:eastAsia="Allura" w:hAnsi="Allura" w:cs="Allura"/>
      <w:sz w:val="59"/>
      <w:szCs w:val="59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wps.pl/my-uniwersytet/aktualnosci/konferencje-i-seminaria/38552-dni-dostepnosci-2026-na-uniwersytecie-swps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notes.xml.rels><?xml version="1.0" encoding="UTF-8" standalone="yes"?>
<Relationships xmlns="http://schemas.openxmlformats.org/package/2006/relationships"><Relationship Id="rId3" Type="http://schemas.openxmlformats.org/officeDocument/2006/relationships/hyperlink" Target="https://stat.gov.pl/obszary-tematyczne/warunki-zycia/ubostwo-pomoc-spoleczna/osoby-niepelnosprawne-w-2024-r-,26,7.html" TargetMode="External"/><Relationship Id="rId2" Type="http://schemas.openxmlformats.org/officeDocument/2006/relationships/hyperlink" Target="https://stat.gov.pl/dla-mediow/informacje-prasowe/dzien-bialej-laski-ponad-160-tysiecy-polakow-zyje-z-chorobami-wzroku-az-4-na-10-z-nich-ma-znaczny-stopien-niepelnosprawnosci,33,1.html" TargetMode="External"/><Relationship Id="rId1" Type="http://schemas.openxmlformats.org/officeDocument/2006/relationships/hyperlink" Target="https://naukawpolsce.pl/aktualnosci/news%2C112295%2Csejm-za-nowela-poszerzajaca-wsparcie-osob-z-niepelnosprawnosciami-na" TargetMode="External"/><Relationship Id="rId5" Type="http://schemas.openxmlformats.org/officeDocument/2006/relationships/hyperlink" Target="https://www.consilium.europa.eu/pl/infographics/disability-eu-facts-figures/" TargetMode="External"/><Relationship Id="rId4" Type="http://schemas.openxmlformats.org/officeDocument/2006/relationships/hyperlink" Target="https://www.consilium.europa.eu/pl/infographics/disability-eu-facts-figures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BT/mZK8AwUfPP88srNlbDSC4Y7g==">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1231</Words>
  <Characters>7388</Characters>
  <Application>Microsoft Office Word</Application>
  <DocSecurity>0</DocSecurity>
  <Lines>61</Lines>
  <Paragraphs>17</Paragraphs>
  <ScaleCrop>false</ScaleCrop>
  <Company/>
  <LinksUpToDate>false</LinksUpToDate>
  <CharactersWithSpaces>8602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Wiktor Wojnar</cp:lastModifiedBy>
  <cp:revision>2</cp:revision>
  <dcterms:created xsi:type="dcterms:W3CDTF">2026-05-13T08:05:00Z</dcterms:created>
  <dcterms:modified xsi:type="dcterms:W3CDTF">2026-05-13T08:05:00Z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lpwstr>2021-08-23T00:00:00Z</vt:lpwstr>
  </property>
  <property fmtid="{D5CDD505-2E9C-101B-9397-08002B2CF9AE}" pid="3" name="Creator">
    <vt:lpwstr>Adobe Illustrator 25.0 (Macintosh)</vt:lpwstr>
  </property>
  <property fmtid="{D5CDD505-2E9C-101B-9397-08002B2CF9AE}" pid="4" name="Created">
    <vt:lpwstr>2021-08-23T00:00:00Z</vt:lpwstr>
  </property>
</Properties>
</file>