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D562" w14:textId="77777777" w:rsidR="007C7B90" w:rsidRPr="007C7B90" w:rsidRDefault="000D1AC4" w:rsidP="007C7B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Dr </w:t>
      </w:r>
      <w:r w:rsidR="007C7B90">
        <w:rPr>
          <w:rFonts w:ascii="Arial" w:eastAsia="Arial Unicode MS" w:hAnsi="Arial"/>
          <w:sz w:val="22"/>
          <w:szCs w:val="22"/>
        </w:rPr>
        <w:t>Bartłomiej Wróblewski</w:t>
      </w:r>
      <w:r>
        <w:rPr>
          <w:rFonts w:ascii="Arial" w:eastAsia="Arial Unicode MS" w:hAnsi="Arial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– </w:t>
      </w:r>
      <w:r w:rsidR="007C7B90" w:rsidRPr="007C7B90">
        <w:rPr>
          <w:rFonts w:eastAsia="Arial Unicode MS"/>
          <w:b w:val="0"/>
          <w:bCs/>
          <w:sz w:val="22"/>
          <w:szCs w:val="22"/>
        </w:rPr>
        <w:t>Prawnik, specjalista w zakresie prawa konstytucyjnego, prawa europejskiego i praw człowieka, były ekspert w Instytucie Zachodnim oraz Kancelarii Prezydenta RP. Ukończył studia prawnicze na Wydziale Prawa i Administracji Uniwersytetu im. Adama Mickiewicza w Poznaniu oraz studia podyplomowe z prawa porównawczego na Reńskim Uniwersytecie Fryderyka Wilhelma w Bonn. Kształcił się także w zakresie europejskiego prawa wspólnotowego na Uniwersytecie Ottona i Fryderyka w Bambergu. Odbywał staże naukowe w Strasburgu i Berlinie. W latach 2011–2014 był dyrektorem Instytutu Prawa na Uniwersytecie SWPS.</w:t>
      </w:r>
    </w:p>
    <w:p w14:paraId="4EF88CB2" w14:textId="6C0E6CA2" w:rsidR="007C7B90" w:rsidRPr="007C7B90" w:rsidRDefault="007C7B90" w:rsidP="007C7B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7C7B90">
        <w:rPr>
          <w:rFonts w:eastAsia="Arial Unicode MS"/>
          <w:b w:val="0"/>
          <w:bCs/>
          <w:sz w:val="22"/>
          <w:szCs w:val="22"/>
        </w:rPr>
        <w:t>Jego zainteresowania naukowe obejmują problematykę odpowiedzialności odszkodowawczej państwa za działania ustawodawcy, normatywność tekstów prawnych, orzecznictwo Europejskiego Trybunału Praw Człowieka, prawo wyborcze, historię korporacji akademickich. Pierwszemu z tych zagadnień poświęcił trzy książki: „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Die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Staatshaftung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für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legislatives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Unrecht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in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Deutschland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>” (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Nomos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Verlagsgesellschaft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>, 2005), „Pozaumowna odpowiedzialność odszkodowawcza Wspólnoty Europejskiej za akty normatywne” (Wydawnictwo Instytutu Zachodniego, 2005), „Odpowiedzialność odszkodowawcza za działania ustawodawcy. Kształtowanie się koncepcji i instytucji na tle reguł ogólnych odpowiedzialności państwa do połowy XX wieku” (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C.H.Beck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>, 2011). Ostatnia praca została wydana także w Stanach Zjednoczonych i Wielkiej Brytanii pod tytułem „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State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Liability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and the Law: A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Historical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and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Comparative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Analysis” (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Routledge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>, 2023). Jest autorem ponad 200 publikacji. Stworzył Archiwum i Muzeum Polskich Korporacji Akademicki</w:t>
      </w:r>
      <w:r w:rsidRPr="007C7B90">
        <w:rPr>
          <w:rFonts w:eastAsia="Arial Unicode MS"/>
          <w:b w:val="0"/>
          <w:bCs/>
          <w:sz w:val="22"/>
          <w:szCs w:val="22"/>
        </w:rPr>
        <w:t>c</w:t>
      </w:r>
      <w:r w:rsidRPr="007C7B90">
        <w:rPr>
          <w:rFonts w:eastAsia="Arial Unicode MS"/>
          <w:b w:val="0"/>
          <w:bCs/>
          <w:sz w:val="22"/>
          <w:szCs w:val="22"/>
        </w:rPr>
        <w:t>h w Poznaniu.</w:t>
      </w:r>
    </w:p>
    <w:p w14:paraId="4D5FE3D3" w14:textId="77777777" w:rsidR="007C7B90" w:rsidRPr="007C7B90" w:rsidRDefault="007C7B90" w:rsidP="007C7B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7C7B90">
        <w:rPr>
          <w:rFonts w:eastAsia="Arial Unicode MS"/>
          <w:b w:val="0"/>
          <w:bCs/>
          <w:sz w:val="22"/>
          <w:szCs w:val="22"/>
        </w:rPr>
        <w:t>Należy do Stowarzyszenia Instytut Zachodni oraz Polskiego Towarzystwa Prawa Konstytucyjnego. W latach 2020–2024 był polskim reprezentantem oraz wiceprzewodniczącym w Kuratorium Polsko-Niemieckiej Fundacji na rzecz Nauki.</w:t>
      </w:r>
    </w:p>
    <w:p w14:paraId="7CC67D21" w14:textId="77777777" w:rsidR="007C7B90" w:rsidRPr="007C7B90" w:rsidRDefault="007C7B90" w:rsidP="007C7B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7C7B90">
        <w:rPr>
          <w:rFonts w:eastAsia="Arial Unicode MS"/>
          <w:b w:val="0"/>
          <w:bCs/>
          <w:sz w:val="22"/>
          <w:szCs w:val="22"/>
        </w:rPr>
        <w:t xml:space="preserve">W latach 1998–2014 zdobył Koronę Ziemi, wchodząc kolejno na szczyty: Elbrus (1998), Kilimandżaro (2002), Mont Blanc (2003), Aconcagua (2007),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Denali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(2008), Góra Kościuszki (2011),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Puncak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Jaya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(2011), Masyw </w:t>
      </w:r>
      <w:proofErr w:type="spellStart"/>
      <w:r w:rsidRPr="007C7B90">
        <w:rPr>
          <w:rFonts w:eastAsia="Arial Unicode MS"/>
          <w:b w:val="0"/>
          <w:bCs/>
          <w:sz w:val="22"/>
          <w:szCs w:val="22"/>
        </w:rPr>
        <w:t>Vinsona</w:t>
      </w:r>
      <w:proofErr w:type="spellEnd"/>
      <w:r w:rsidRPr="007C7B90">
        <w:rPr>
          <w:rFonts w:eastAsia="Arial Unicode MS"/>
          <w:b w:val="0"/>
          <w:bCs/>
          <w:sz w:val="22"/>
          <w:szCs w:val="22"/>
        </w:rPr>
        <w:t xml:space="preserve"> (2012) i Mount Everest (2014). Należy do Klubu Wysokogórskiego w Poznaniu. Był członkiem komitetu organizacyjnego Narodowej Zimowej Wyprawy na K2 w latach 2017–2018.</w:t>
      </w:r>
    </w:p>
    <w:p w14:paraId="10CFCE8B" w14:textId="6121A77A" w:rsidR="00034C22" w:rsidRDefault="007C7B90" w:rsidP="007C7B9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7C7B90">
        <w:rPr>
          <w:rFonts w:eastAsia="Arial Unicode MS"/>
          <w:b w:val="0"/>
          <w:bCs/>
          <w:sz w:val="22"/>
          <w:szCs w:val="22"/>
        </w:rPr>
        <w:t>Na Uniwersytecie SWPS prowadzi zajęcia z prawa konstytucyjnego i praw człowieka.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1BB26816" w14:textId="77777777" w:rsidR="00CD7359" w:rsidRPr="00CD7359" w:rsidRDefault="00CD7359" w:rsidP="00CD7359">
      <w:pPr>
        <w:pStyle w:val="Normalny1"/>
      </w:pP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</w:t>
      </w:r>
      <w:r w:rsidRPr="00EA32DD">
        <w:rPr>
          <w:i/>
        </w:rPr>
        <w:lastRenderedPageBreak/>
        <w:t>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E90F" w14:textId="77777777" w:rsidR="00E96349" w:rsidRDefault="00E96349">
      <w:r>
        <w:separator/>
      </w:r>
    </w:p>
  </w:endnote>
  <w:endnote w:type="continuationSeparator" w:id="0">
    <w:p w14:paraId="400288F0" w14:textId="77777777" w:rsidR="00E96349" w:rsidRDefault="00E9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A0819" w14:textId="77777777" w:rsidR="00E96349" w:rsidRDefault="00E96349">
      <w:r>
        <w:separator/>
      </w:r>
    </w:p>
  </w:footnote>
  <w:footnote w:type="continuationSeparator" w:id="0">
    <w:p w14:paraId="5441D295" w14:textId="77777777" w:rsidR="00E96349" w:rsidRDefault="00E96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5833BB"/>
    <w:rsid w:val="007C7B90"/>
    <w:rsid w:val="00AE10D4"/>
    <w:rsid w:val="00B17229"/>
    <w:rsid w:val="00CD7359"/>
    <w:rsid w:val="00D63184"/>
    <w:rsid w:val="00E96349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C7B9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7B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C7B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646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2025-03-19T10:59:00Z</dcterms:created>
  <dcterms:modified xsi:type="dcterms:W3CDTF">2025-03-19T10:59:00Z</dcterms:modified>
</cp:coreProperties>
</file>