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0B64" w14:textId="76DBAA72" w:rsidR="00506DB1" w:rsidRPr="00506DB1" w:rsidRDefault="00506DB1" w:rsidP="00506D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06DB1">
        <w:rPr>
          <w:rFonts w:ascii="Arial" w:eastAsia="Arial Unicode MS" w:hAnsi="Arial"/>
          <w:sz w:val="22"/>
          <w:szCs w:val="22"/>
        </w:rPr>
        <w:t>Iga Wermińska-Wiśnicka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>–</w:t>
      </w:r>
      <w:r>
        <w:rPr>
          <w:rFonts w:eastAsia="Arial Unicode MS"/>
          <w:b w:val="0"/>
          <w:bCs/>
          <w:sz w:val="22"/>
          <w:szCs w:val="22"/>
        </w:rPr>
        <w:t xml:space="preserve"> </w:t>
      </w:r>
      <w:r w:rsidRPr="00506DB1">
        <w:rPr>
          <w:rFonts w:eastAsia="Arial Unicode MS"/>
          <w:b w:val="0"/>
          <w:bCs/>
          <w:sz w:val="22"/>
          <w:szCs w:val="22"/>
        </w:rPr>
        <w:t>Absolwentka ekonomii oraz międzynarodowych stosunków gospodarczych w Szkole Głównej Handlowej w Warszawie, doktorantka socjologii w Szkole Doktorskiej Uniwersytetu SWPS. Naukowo zajmuje się badaniem wpływu ruchów migracyjnych na rynek pracy, sytuacją zawodową kobiet oraz wielokulturowością.</w:t>
      </w:r>
    </w:p>
    <w:p w14:paraId="05AF3887" w14:textId="769F28D6" w:rsidR="00506DB1" w:rsidRPr="00506DB1" w:rsidRDefault="00506DB1" w:rsidP="00506D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06DB1">
        <w:rPr>
          <w:rFonts w:eastAsia="Arial Unicode MS"/>
          <w:b w:val="0"/>
          <w:bCs/>
          <w:sz w:val="22"/>
          <w:szCs w:val="22"/>
        </w:rPr>
        <w:t xml:space="preserve">Była badaczką w projektach finansowanych ze środków Narodowego Centrum Nauki: </w:t>
      </w:r>
      <w:hyperlink r:id="rId7" w:history="1"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>„</w:t>
        </w:r>
        <w:proofErr w:type="spellStart"/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>CEEYouth</w:t>
        </w:r>
        <w:proofErr w:type="spellEnd"/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 xml:space="preserve">: Badanie porównawcze młodych migrantów z Polski i Litwy w kontekście </w:t>
        </w:r>
        <w:proofErr w:type="spellStart"/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>Brexitu</w:t>
        </w:r>
        <w:proofErr w:type="spellEnd"/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>”</w:t>
        </w:r>
      </w:hyperlink>
      <w:r w:rsidRPr="00506DB1">
        <w:rPr>
          <w:rFonts w:eastAsia="Arial Unicode MS"/>
          <w:b w:val="0"/>
          <w:bCs/>
          <w:sz w:val="22"/>
          <w:szCs w:val="22"/>
        </w:rPr>
        <w:t xml:space="preserve"> (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Daina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) oraz „DIGITISLAM: Digital Islam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across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 Europe: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Understanding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Muslims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’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Participation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 in Online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Islamic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Environments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 xml:space="preserve">” (konkurs </w:t>
      </w:r>
      <w:proofErr w:type="spellStart"/>
      <w:r w:rsidRPr="00506DB1">
        <w:rPr>
          <w:rFonts w:eastAsia="Arial Unicode MS"/>
          <w:b w:val="0"/>
          <w:bCs/>
          <w:sz w:val="22"/>
          <w:szCs w:val="22"/>
        </w:rPr>
        <w:t>Chanse</w:t>
      </w:r>
      <w:proofErr w:type="spellEnd"/>
      <w:r w:rsidRPr="00506DB1">
        <w:rPr>
          <w:rFonts w:eastAsia="Arial Unicode MS"/>
          <w:b w:val="0"/>
          <w:bCs/>
          <w:sz w:val="22"/>
          <w:szCs w:val="22"/>
        </w:rPr>
        <w:t>).</w:t>
      </w:r>
    </w:p>
    <w:p w14:paraId="1E0B1B7F" w14:textId="7DD29686" w:rsidR="00CD7359" w:rsidRPr="00506DB1" w:rsidRDefault="00506DB1" w:rsidP="00506DB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506DB1">
        <w:rPr>
          <w:rFonts w:eastAsia="Arial Unicode MS"/>
          <w:b w:val="0"/>
          <w:bCs/>
          <w:sz w:val="22"/>
          <w:szCs w:val="22"/>
        </w:rPr>
        <w:t xml:space="preserve">Jest członkinią centrum badawczego </w:t>
      </w:r>
      <w:hyperlink r:id="rId8" w:history="1">
        <w:r w:rsidRPr="00EF3709">
          <w:rPr>
            <w:rStyle w:val="Hipercze"/>
            <w:rFonts w:eastAsia="Arial Unicode MS"/>
            <w:b w:val="0"/>
            <w:bCs/>
            <w:sz w:val="22"/>
            <w:szCs w:val="22"/>
          </w:rPr>
          <w:t>Młodzi w Centrum Lab</w:t>
        </w:r>
      </w:hyperlink>
      <w:r w:rsidRPr="00506DB1">
        <w:rPr>
          <w:rFonts w:eastAsia="Arial Unicode MS"/>
          <w:b w:val="0"/>
          <w:bCs/>
          <w:sz w:val="22"/>
          <w:szCs w:val="22"/>
        </w:rPr>
        <w:t xml:space="preserve"> działającego przy Instytucie Nauk Społecznych USWPS.</w:t>
      </w:r>
    </w:p>
    <w:p w14:paraId="1BB26816" w14:textId="77777777" w:rsidR="00CD7359" w:rsidRPr="00CD7359" w:rsidRDefault="00CD7359" w:rsidP="00CD7359">
      <w:pPr>
        <w:pStyle w:val="Normalny1"/>
      </w:pP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9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11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2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3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4"/>
      <w:headerReference w:type="default" r:id="rId15"/>
      <w:headerReference w:type="first" r:id="rId16"/>
      <w:footerReference w:type="first" r:id="rId17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6B36" w14:textId="77777777" w:rsidR="00583513" w:rsidRDefault="00583513">
      <w:r>
        <w:separator/>
      </w:r>
    </w:p>
  </w:endnote>
  <w:endnote w:type="continuationSeparator" w:id="0">
    <w:p w14:paraId="0A2A6197" w14:textId="77777777" w:rsidR="00583513" w:rsidRDefault="0058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255D" w14:textId="77777777" w:rsidR="00583513" w:rsidRDefault="00583513">
      <w:r>
        <w:separator/>
      </w:r>
    </w:p>
  </w:footnote>
  <w:footnote w:type="continuationSeparator" w:id="0">
    <w:p w14:paraId="7EA315B8" w14:textId="77777777" w:rsidR="00583513" w:rsidRDefault="00583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441AA3"/>
    <w:rsid w:val="004A7B55"/>
    <w:rsid w:val="00506DB1"/>
    <w:rsid w:val="005833BB"/>
    <w:rsid w:val="00583513"/>
    <w:rsid w:val="00AE10D4"/>
    <w:rsid w:val="00B17229"/>
    <w:rsid w:val="00CD7359"/>
    <w:rsid w:val="00D63184"/>
    <w:rsid w:val="00EA32DD"/>
    <w:rsid w:val="00E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F370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nauka-i-badania/poznaj-nasz-potencjal/centra-badawcze/873-instytuty-naukowe/instytut-nauk-spolecznych/centra-i-laboratoria/28414-mlodzi-w-centrum-lab?_gl=1*1wh9fsq*_up*MQ..*_ga*MjExNjU5OTI1Mi4xNzQ4MDA4Mjc5*_ga_KWLY61927T*czE3NDgwMDgyNzgkbzEkZzAkdDE3NDgwMDgyNzgkajAkbDAkaDA.*_ga_WD92PFT6KH*czE3NDgwMDgyNzgkbzEkZzAkdDE3NDgwMDgyNzgkajAkbDAkaDAkZE1pcEhOM1ZCVWxKQ25EMWh6QWRCSHB1Q0c5Rnl2UHlOemc." TargetMode="External"/><Relationship Id="rId13" Type="http://schemas.openxmlformats.org/officeDocument/2006/relationships/hyperlink" Target="https://twitter.com/SWPSUniversit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wps.pl/nauka-i-badania/granty/18386-ceeyouth-badanie-porownawcze-mlodych-migrantow-z-polski-i-litwy?_gl=1*10a19te*_up*MQ..*_ga*MjExNjU5OTI1Mi4xNzQ4MDA4Mjc5*_ga_KWLY61927T*czE3NDgwMDgyNzgkbzEkZzAkdDE3NDgwMDgyNzgkajAkbDAkaDA.*_ga_WD92PFT6KH*czE3NDgwMDgyNzgkbzEkZzAkdDE3NDgwMDgyNzgkajAkbDAkaDAkZE1pcEhOM1ZCVWxKQ25EMWh6QWRCSHB1Q0c5Rnl2UHlOemc.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UniwersytetSWPS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4</cp:revision>
  <dcterms:created xsi:type="dcterms:W3CDTF">2025-05-23T13:53:00Z</dcterms:created>
  <dcterms:modified xsi:type="dcterms:W3CDTF">2025-05-23T14:05:00Z</dcterms:modified>
</cp:coreProperties>
</file>