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0D1A4A" w14:textId="77777777" w:rsidR="00E3249E" w:rsidRPr="005B26EF" w:rsidRDefault="00632EB3">
      <w:pPr>
        <w:rPr>
          <w:b/>
          <w:bCs/>
          <w:sz w:val="28"/>
          <w:szCs w:val="28"/>
          <w:lang w:val="pl-PL"/>
        </w:rPr>
      </w:pPr>
      <w:r w:rsidRPr="005B26EF">
        <w:rPr>
          <w:b/>
          <w:bCs/>
          <w:sz w:val="28"/>
          <w:szCs w:val="28"/>
          <w:lang w:val="pl-PL"/>
        </w:rPr>
        <w:t>Artystki „nieprofesjonalne”, czyli o najbardziej wykluczonych kobietach w sztuce</w:t>
      </w:r>
    </w:p>
    <w:p w14:paraId="76B662A5" w14:textId="77777777" w:rsidR="00E3249E" w:rsidRPr="005B26EF" w:rsidRDefault="00E3249E">
      <w:pPr>
        <w:rPr>
          <w:b/>
          <w:bCs/>
          <w:sz w:val="28"/>
          <w:szCs w:val="28"/>
          <w:lang w:val="pl-PL"/>
        </w:rPr>
      </w:pPr>
    </w:p>
    <w:p w14:paraId="4DF34502" w14:textId="77777777" w:rsidR="00E3249E" w:rsidRPr="005B26EF" w:rsidRDefault="00632EB3">
      <w:pPr>
        <w:jc w:val="both"/>
        <w:rPr>
          <w:rFonts w:ascii="Arial" w:eastAsia="Arial" w:hAnsi="Arial" w:cs="Arial"/>
          <w:b/>
          <w:bCs/>
          <w:lang w:val="pl-PL"/>
        </w:rPr>
      </w:pPr>
      <w:r w:rsidRPr="005B26EF">
        <w:rPr>
          <w:rFonts w:ascii="Arial" w:eastAsia="Arial" w:hAnsi="Arial" w:cs="Arial"/>
          <w:b/>
          <w:bCs/>
          <w:lang w:val="pl-PL"/>
        </w:rPr>
        <w:t>Wystawa „Kwestia kobieca 1550-2025” w Muzeum Sztuki Nowoczesnej pokazuje, jak kobiety przez wieki torowały sobie drogę w sztuce zdominowanej przez mężczyzn. – To także opowieść o różnorodności kobiecej refleksji nad kobiecością – mówi prof. Ewa Klekot, ant</w:t>
      </w:r>
      <w:r w:rsidRPr="005B26EF">
        <w:rPr>
          <w:rFonts w:ascii="Arial" w:eastAsia="Arial" w:hAnsi="Arial" w:cs="Arial"/>
          <w:b/>
          <w:bCs/>
          <w:lang w:val="pl-PL"/>
        </w:rPr>
        <w:t xml:space="preserve">ropolożka kultury z Uniwersytetu SWPS, która współpracowała z kuratorką Alison M. </w:t>
      </w:r>
      <w:proofErr w:type="spellStart"/>
      <w:r w:rsidRPr="005B26EF">
        <w:rPr>
          <w:rFonts w:ascii="Arial" w:eastAsia="Arial" w:hAnsi="Arial" w:cs="Arial"/>
          <w:b/>
          <w:bCs/>
          <w:lang w:val="pl-PL"/>
        </w:rPr>
        <w:t>Gingeras</w:t>
      </w:r>
      <w:proofErr w:type="spellEnd"/>
      <w:r w:rsidRPr="005B26EF">
        <w:rPr>
          <w:rFonts w:ascii="Arial" w:eastAsia="Arial" w:hAnsi="Arial" w:cs="Arial"/>
          <w:b/>
          <w:bCs/>
          <w:lang w:val="pl-PL"/>
        </w:rPr>
        <w:t xml:space="preserve"> przy tworzeniu ekspozycji. Jej zasługą jest zaprezentowanie twórczości polskich artystek „nieprofesjonalnych” – pochodzących z niższych grup społecznych, często bez </w:t>
      </w:r>
      <w:r w:rsidRPr="005B26EF">
        <w:rPr>
          <w:rFonts w:ascii="Arial" w:eastAsia="Arial" w:hAnsi="Arial" w:cs="Arial"/>
          <w:b/>
          <w:bCs/>
          <w:lang w:val="pl-PL"/>
        </w:rPr>
        <w:t>żadnego wykształcenia, a więc tych, które były podwójnie wykluczane ze sztuki.</w:t>
      </w:r>
    </w:p>
    <w:p w14:paraId="08AB3B51" w14:textId="77777777" w:rsidR="00E3249E" w:rsidRPr="005B26EF" w:rsidRDefault="00E3249E">
      <w:pPr>
        <w:jc w:val="both"/>
        <w:rPr>
          <w:rFonts w:ascii="Arial" w:eastAsia="Arial" w:hAnsi="Arial" w:cs="Arial"/>
          <w:b/>
          <w:bCs/>
          <w:lang w:val="pl-PL"/>
        </w:rPr>
      </w:pPr>
    </w:p>
    <w:p w14:paraId="2C0F40E2" w14:textId="77777777" w:rsidR="00E3249E" w:rsidRPr="005B26EF" w:rsidRDefault="00632EB3">
      <w:pPr>
        <w:spacing w:before="1" w:line="300" w:lineRule="auto"/>
        <w:ind w:left="23" w:right="17"/>
        <w:jc w:val="both"/>
        <w:rPr>
          <w:sz w:val="20"/>
          <w:szCs w:val="20"/>
          <w:lang w:val="pl-PL"/>
        </w:rPr>
      </w:pPr>
      <w:r w:rsidRPr="005B26EF">
        <w:rPr>
          <w:sz w:val="20"/>
          <w:szCs w:val="20"/>
          <w:lang w:val="pl-PL"/>
        </w:rPr>
        <w:t xml:space="preserve">„Kwestia kobieca 1550-2025” w Muzeum Sztuki Nowoczesnej w Warszawie to pierwsza przekrojowa wystawa o kobietach-artystkach z różnych epok od ekspozycji Agnieszki </w:t>
      </w:r>
      <w:proofErr w:type="spellStart"/>
      <w:r w:rsidRPr="005B26EF">
        <w:rPr>
          <w:sz w:val="20"/>
          <w:szCs w:val="20"/>
          <w:lang w:val="pl-PL"/>
        </w:rPr>
        <w:t>Morawińskiej</w:t>
      </w:r>
      <w:proofErr w:type="spellEnd"/>
      <w:r w:rsidRPr="005B26EF">
        <w:rPr>
          <w:sz w:val="20"/>
          <w:szCs w:val="20"/>
          <w:lang w:val="pl-PL"/>
        </w:rPr>
        <w:t xml:space="preserve"> „</w:t>
      </w:r>
      <w:r w:rsidRPr="005B26EF">
        <w:rPr>
          <w:sz w:val="20"/>
          <w:szCs w:val="20"/>
          <w:lang w:val="pl-PL"/>
        </w:rPr>
        <w:t>Artystki polskie” w Muzeum Narodowym w 1991 r. Jest podzielona na 9 sekcji tematycznych, które opowiadają m.in. o edukacji, duchowości, seksualności, macierzyństwie, wojnie.</w:t>
      </w:r>
    </w:p>
    <w:p w14:paraId="6038E941" w14:textId="77777777" w:rsidR="00E3249E" w:rsidRPr="005B26EF" w:rsidRDefault="00E3249E">
      <w:pPr>
        <w:spacing w:before="1" w:line="300" w:lineRule="auto"/>
        <w:ind w:left="23" w:right="17"/>
        <w:jc w:val="both"/>
        <w:rPr>
          <w:sz w:val="20"/>
          <w:szCs w:val="20"/>
          <w:lang w:val="pl-PL"/>
        </w:rPr>
      </w:pPr>
    </w:p>
    <w:p w14:paraId="02594393" w14:textId="77777777" w:rsidR="00E3249E" w:rsidRPr="005B26EF" w:rsidRDefault="00632EB3">
      <w:pPr>
        <w:pBdr>
          <w:top w:val="nil"/>
          <w:left w:val="nil"/>
          <w:bottom w:val="nil"/>
          <w:right w:val="nil"/>
          <w:between w:val="nil"/>
        </w:pBdr>
        <w:spacing w:before="1" w:line="300" w:lineRule="auto"/>
        <w:ind w:left="23" w:right="17"/>
        <w:jc w:val="both"/>
        <w:rPr>
          <w:sz w:val="20"/>
          <w:szCs w:val="20"/>
          <w:lang w:val="pl-PL"/>
        </w:rPr>
      </w:pPr>
      <w:r w:rsidRPr="005B26EF">
        <w:rPr>
          <w:sz w:val="20"/>
          <w:szCs w:val="20"/>
          <w:lang w:val="pl-PL"/>
        </w:rPr>
        <w:t xml:space="preserve">Kuratorką wystawy jest Amerykanka Alison M. </w:t>
      </w:r>
      <w:proofErr w:type="spellStart"/>
      <w:r w:rsidRPr="005B26EF">
        <w:rPr>
          <w:sz w:val="20"/>
          <w:szCs w:val="20"/>
          <w:lang w:val="pl-PL"/>
        </w:rPr>
        <w:t>Gingeras</w:t>
      </w:r>
      <w:proofErr w:type="spellEnd"/>
      <w:r w:rsidRPr="005B26EF">
        <w:rPr>
          <w:sz w:val="20"/>
          <w:szCs w:val="20"/>
          <w:lang w:val="pl-PL"/>
        </w:rPr>
        <w:t>. Zaprosiła do współpracy  dr</w:t>
      </w:r>
      <w:r w:rsidRPr="005B26EF">
        <w:rPr>
          <w:sz w:val="20"/>
          <w:szCs w:val="20"/>
          <w:lang w:val="pl-PL"/>
        </w:rPr>
        <w:t xml:space="preserve"> hab. Ewę Klekot, prof. Uniwersytetu SWPS, ponieważ chciała włączyć do narracji ekspozycji prace artystek określanych po polsku jako „nieprofesjonalne”. To kobiety, które nie posiadały formalnego wykształcenia artystycznego, ale które zaistniały w świecie </w:t>
      </w:r>
      <w:r w:rsidRPr="005B26EF">
        <w:rPr>
          <w:sz w:val="20"/>
          <w:szCs w:val="20"/>
          <w:lang w:val="pl-PL"/>
        </w:rPr>
        <w:t>sztuki.</w:t>
      </w:r>
    </w:p>
    <w:p w14:paraId="35821387" w14:textId="77777777" w:rsidR="00E3249E" w:rsidRPr="005B26EF" w:rsidRDefault="00E3249E">
      <w:pPr>
        <w:spacing w:before="1" w:line="300" w:lineRule="auto"/>
        <w:ind w:left="23" w:right="17"/>
        <w:jc w:val="both"/>
        <w:rPr>
          <w:sz w:val="20"/>
          <w:szCs w:val="20"/>
          <w:lang w:val="pl-PL"/>
        </w:rPr>
      </w:pPr>
    </w:p>
    <w:p w14:paraId="5A33F391" w14:textId="77777777" w:rsidR="00E3249E" w:rsidRPr="005B26EF" w:rsidRDefault="00632EB3">
      <w:pPr>
        <w:spacing w:before="1" w:line="300" w:lineRule="auto"/>
        <w:ind w:left="23" w:right="17"/>
        <w:jc w:val="both"/>
        <w:rPr>
          <w:sz w:val="20"/>
          <w:szCs w:val="20"/>
          <w:lang w:val="pl-PL"/>
        </w:rPr>
      </w:pPr>
      <w:r w:rsidRPr="005B26EF">
        <w:rPr>
          <w:sz w:val="20"/>
          <w:szCs w:val="20"/>
          <w:lang w:val="pl-PL"/>
        </w:rPr>
        <w:t xml:space="preserve">– Z perspektywy polskiej sceny muzealno-artystycznej to była nowatorska idea, dlatego że prace artystek bez formalnego wykształcenia są zwykle kolekcjonowane przez muzea etnograficzne, ewentualnie muzea regionalne. Na wystawie w MSN wpisują się w </w:t>
      </w:r>
      <w:r w:rsidRPr="005B26EF">
        <w:rPr>
          <w:sz w:val="20"/>
          <w:szCs w:val="20"/>
          <w:lang w:val="pl-PL"/>
        </w:rPr>
        <w:t>kategorie, które powstały na potrzeby „sztuki wysokiej”. Twórczynie „nieprofesjonalne” wydają się tam trochę nie z tego świata, bo są niewykształcone artystycznie i pochodzą z niskich klas społecznych, dlatego właśnie ich prace stawiają inne pytania – opow</w:t>
      </w:r>
      <w:r w:rsidRPr="005B26EF">
        <w:rPr>
          <w:sz w:val="20"/>
          <w:szCs w:val="20"/>
          <w:lang w:val="pl-PL"/>
        </w:rPr>
        <w:t>iada prof. Ewa Klekot.</w:t>
      </w:r>
    </w:p>
    <w:p w14:paraId="1613E422" w14:textId="77777777" w:rsidR="00E3249E" w:rsidRPr="005B26EF" w:rsidRDefault="00E3249E">
      <w:pPr>
        <w:spacing w:before="1" w:line="300" w:lineRule="auto"/>
        <w:ind w:left="23" w:right="17"/>
        <w:jc w:val="both"/>
        <w:rPr>
          <w:sz w:val="20"/>
          <w:szCs w:val="20"/>
          <w:lang w:val="pl-PL"/>
        </w:rPr>
      </w:pPr>
    </w:p>
    <w:p w14:paraId="1423B9C1" w14:textId="77777777" w:rsidR="00E3249E" w:rsidRPr="005B26EF" w:rsidRDefault="00632EB3">
      <w:pPr>
        <w:spacing w:before="1" w:line="300" w:lineRule="auto"/>
        <w:ind w:left="23" w:right="17"/>
        <w:jc w:val="both"/>
        <w:rPr>
          <w:rFonts w:ascii="Roboto" w:eastAsia="Roboto" w:hAnsi="Roboto" w:cs="Roboto"/>
          <w:b/>
          <w:bCs/>
          <w:sz w:val="21"/>
          <w:szCs w:val="21"/>
          <w:highlight w:val="white"/>
          <w:lang w:val="pl-PL"/>
        </w:rPr>
      </w:pPr>
      <w:r w:rsidRPr="005B26EF">
        <w:rPr>
          <w:rFonts w:ascii="Roboto" w:eastAsia="Roboto" w:hAnsi="Roboto" w:cs="Roboto"/>
          <w:b/>
          <w:bCs/>
          <w:sz w:val="21"/>
          <w:szCs w:val="21"/>
          <w:highlight w:val="white"/>
          <w:lang w:val="pl-PL"/>
        </w:rPr>
        <w:t xml:space="preserve">Poza murami akademii: kobiece „robótki” i portrety </w:t>
      </w:r>
    </w:p>
    <w:p w14:paraId="3999ECF1" w14:textId="77777777" w:rsidR="00E3249E" w:rsidRPr="005B26EF" w:rsidRDefault="00632EB3">
      <w:pPr>
        <w:pBdr>
          <w:top w:val="nil"/>
          <w:left w:val="nil"/>
          <w:bottom w:val="nil"/>
          <w:right w:val="nil"/>
          <w:between w:val="nil"/>
        </w:pBdr>
        <w:spacing w:before="1" w:line="300" w:lineRule="auto"/>
        <w:ind w:left="23" w:right="17"/>
        <w:jc w:val="both"/>
        <w:rPr>
          <w:sz w:val="20"/>
          <w:szCs w:val="20"/>
          <w:lang w:val="pl-PL"/>
        </w:rPr>
      </w:pPr>
      <w:r w:rsidRPr="005B26EF">
        <w:rPr>
          <w:sz w:val="20"/>
          <w:szCs w:val="20"/>
          <w:lang w:val="pl-PL"/>
        </w:rPr>
        <w:t xml:space="preserve">Prof. Ewa Klekot podkreśla, że sztuka nowożytna od początku była silnie </w:t>
      </w:r>
      <w:r w:rsidRPr="005B26EF">
        <w:rPr>
          <w:sz w:val="20"/>
          <w:szCs w:val="20"/>
          <w:lang w:val="pl-PL"/>
        </w:rPr>
        <w:lastRenderedPageBreak/>
        <w:t>zhierarchizowana i klasowa. Dzieła powstawały pod mecenatem bardzo zamożnych ludzi, były zbierane w kolekcja</w:t>
      </w:r>
      <w:r w:rsidRPr="005B26EF">
        <w:rPr>
          <w:sz w:val="20"/>
          <w:szCs w:val="20"/>
          <w:lang w:val="pl-PL"/>
        </w:rPr>
        <w:t xml:space="preserve">ch, a potem pokazywane w muzeach. Od przełomu XVIII i XIX wieku sztuka stanowiła ważną część kultury burżuazyjnej. A tworzące kobiety miały jeszcze trudniej, niż w pierwszych dwóch stuleciach istnienia nowożytnych akademii. Wystawa opowiada też o tym, jak </w:t>
      </w:r>
      <w:r w:rsidRPr="005B26EF">
        <w:rPr>
          <w:sz w:val="20"/>
          <w:szCs w:val="20"/>
          <w:lang w:val="pl-PL"/>
        </w:rPr>
        <w:t xml:space="preserve">mężczyźni wykluczali je ze sztuki, a one nie dawały za wygraną. </w:t>
      </w:r>
    </w:p>
    <w:p w14:paraId="6123AC7F" w14:textId="77777777" w:rsidR="00E3249E" w:rsidRPr="005B26EF" w:rsidRDefault="00632EB3">
      <w:pPr>
        <w:pBdr>
          <w:top w:val="nil"/>
          <w:left w:val="nil"/>
          <w:bottom w:val="nil"/>
          <w:right w:val="nil"/>
          <w:between w:val="nil"/>
        </w:pBdr>
        <w:spacing w:before="1" w:line="300" w:lineRule="auto"/>
        <w:ind w:left="23" w:right="17"/>
        <w:jc w:val="both"/>
        <w:rPr>
          <w:sz w:val="20"/>
          <w:szCs w:val="20"/>
          <w:lang w:val="pl-PL"/>
        </w:rPr>
      </w:pPr>
      <w:r w:rsidRPr="005B26EF">
        <w:rPr>
          <w:sz w:val="20"/>
          <w:szCs w:val="20"/>
          <w:lang w:val="pl-PL"/>
        </w:rPr>
        <w:t xml:space="preserve"> </w:t>
      </w:r>
    </w:p>
    <w:p w14:paraId="309D60E6" w14:textId="77777777" w:rsidR="00E3249E" w:rsidRPr="005B26EF" w:rsidRDefault="00632EB3">
      <w:pPr>
        <w:pBdr>
          <w:top w:val="nil"/>
          <w:left w:val="nil"/>
          <w:bottom w:val="nil"/>
          <w:right w:val="nil"/>
          <w:between w:val="nil"/>
        </w:pBdr>
        <w:spacing w:before="1" w:line="300" w:lineRule="auto"/>
        <w:ind w:left="23" w:right="17"/>
        <w:jc w:val="both"/>
        <w:rPr>
          <w:sz w:val="20"/>
          <w:szCs w:val="20"/>
          <w:lang w:val="pl-PL"/>
        </w:rPr>
      </w:pPr>
      <w:r w:rsidRPr="005B26EF">
        <w:rPr>
          <w:sz w:val="20"/>
          <w:szCs w:val="20"/>
          <w:lang w:val="pl-PL"/>
        </w:rPr>
        <w:t xml:space="preserve">Hierarchie akademickie coraz bardziej utrudniały kobietom uprawianie sztuki. O ile </w:t>
      </w:r>
      <w:proofErr w:type="spellStart"/>
      <w:r w:rsidRPr="005B26EF">
        <w:rPr>
          <w:sz w:val="20"/>
          <w:szCs w:val="20"/>
          <w:lang w:val="pl-PL"/>
        </w:rPr>
        <w:t>Artemisia</w:t>
      </w:r>
      <w:proofErr w:type="spellEnd"/>
      <w:r w:rsidRPr="005B26EF">
        <w:rPr>
          <w:sz w:val="20"/>
          <w:szCs w:val="20"/>
          <w:lang w:val="pl-PL"/>
        </w:rPr>
        <w:t xml:space="preserve"> </w:t>
      </w:r>
      <w:proofErr w:type="spellStart"/>
      <w:r w:rsidRPr="005B26EF">
        <w:rPr>
          <w:sz w:val="20"/>
          <w:szCs w:val="20"/>
          <w:lang w:val="pl-PL"/>
        </w:rPr>
        <w:t>Gentileschi</w:t>
      </w:r>
      <w:proofErr w:type="spellEnd"/>
      <w:r w:rsidRPr="005B26EF">
        <w:rPr>
          <w:sz w:val="20"/>
          <w:szCs w:val="20"/>
          <w:lang w:val="pl-PL"/>
        </w:rPr>
        <w:t xml:space="preserve"> mogła być jeszcze członkinią akademii i robić karierę artystyczną w XVII wieku, to p</w:t>
      </w:r>
      <w:r w:rsidRPr="005B26EF">
        <w:rPr>
          <w:sz w:val="20"/>
          <w:szCs w:val="20"/>
          <w:lang w:val="pl-PL"/>
        </w:rPr>
        <w:t>od koniec XVIII wieku było to już niemożliwe.</w:t>
      </w:r>
    </w:p>
    <w:p w14:paraId="209B2C73" w14:textId="77777777" w:rsidR="00E3249E" w:rsidRPr="005B26EF" w:rsidRDefault="00E3249E">
      <w:pPr>
        <w:pBdr>
          <w:top w:val="nil"/>
          <w:left w:val="nil"/>
          <w:bottom w:val="nil"/>
          <w:right w:val="nil"/>
          <w:between w:val="nil"/>
        </w:pBdr>
        <w:spacing w:before="1" w:line="300" w:lineRule="auto"/>
        <w:ind w:left="23" w:right="17"/>
        <w:jc w:val="both"/>
        <w:rPr>
          <w:sz w:val="20"/>
          <w:szCs w:val="20"/>
          <w:lang w:val="pl-PL"/>
        </w:rPr>
      </w:pPr>
    </w:p>
    <w:p w14:paraId="7C0509E5" w14:textId="77777777" w:rsidR="00E3249E" w:rsidRPr="005B26EF" w:rsidRDefault="00632EB3">
      <w:pPr>
        <w:spacing w:before="1" w:line="300" w:lineRule="auto"/>
        <w:ind w:left="23" w:right="17"/>
        <w:jc w:val="both"/>
        <w:rPr>
          <w:sz w:val="20"/>
          <w:szCs w:val="20"/>
          <w:lang w:val="pl-PL"/>
        </w:rPr>
      </w:pPr>
      <w:r w:rsidRPr="005B26EF">
        <w:rPr>
          <w:sz w:val="20"/>
          <w:szCs w:val="20"/>
          <w:lang w:val="pl-PL"/>
        </w:rPr>
        <w:t>– W XVIII wieku brytyjska Akademia Królewska wyklucza z działalności artystycznej techniki kojarzone z kobietami: tekstylia, hafty, akwarele, pastele itd. Prawdziwą sztuką pozostało duże malarstwo olejne czy r</w:t>
      </w:r>
      <w:r w:rsidRPr="005B26EF">
        <w:rPr>
          <w:sz w:val="20"/>
          <w:szCs w:val="20"/>
          <w:lang w:val="pl-PL"/>
        </w:rPr>
        <w:t>zeźba – wyjaśnia prof. Ewa Klekot.</w:t>
      </w:r>
    </w:p>
    <w:p w14:paraId="68599964" w14:textId="77777777" w:rsidR="00E3249E" w:rsidRPr="005B26EF" w:rsidRDefault="00E3249E">
      <w:pPr>
        <w:spacing w:before="1" w:line="300" w:lineRule="auto"/>
        <w:ind w:left="23" w:right="17"/>
        <w:jc w:val="both"/>
        <w:rPr>
          <w:sz w:val="20"/>
          <w:szCs w:val="20"/>
          <w:lang w:val="pl-PL"/>
        </w:rPr>
      </w:pPr>
    </w:p>
    <w:p w14:paraId="505E6D44" w14:textId="77777777" w:rsidR="00E3249E" w:rsidRPr="005B26EF" w:rsidRDefault="00632EB3">
      <w:pPr>
        <w:spacing w:before="1" w:line="300" w:lineRule="auto"/>
        <w:ind w:left="23" w:right="17"/>
        <w:jc w:val="both"/>
        <w:rPr>
          <w:sz w:val="20"/>
          <w:szCs w:val="20"/>
          <w:lang w:val="pl-PL"/>
        </w:rPr>
      </w:pPr>
      <w:r w:rsidRPr="005B26EF">
        <w:rPr>
          <w:sz w:val="20"/>
          <w:szCs w:val="20"/>
          <w:lang w:val="pl-PL"/>
        </w:rPr>
        <w:t xml:space="preserve">Sekcja „Edukacja i kanon” na wystawie porusza także te zagadnienia. Wśród eksponatów jest XVIII-wieczne antepedium, XIX-wieczny sztambuch biedermeierowski z okładką </w:t>
      </w:r>
      <w:r w:rsidRPr="005B26EF">
        <w:rPr>
          <w:sz w:val="20"/>
          <w:szCs w:val="20"/>
          <w:highlight w:val="white"/>
          <w:lang w:val="pl-PL"/>
        </w:rPr>
        <w:t>wyszywan</w:t>
      </w:r>
      <w:r w:rsidRPr="005B26EF">
        <w:rPr>
          <w:sz w:val="20"/>
          <w:szCs w:val="20"/>
          <w:lang w:val="pl-PL"/>
        </w:rPr>
        <w:t xml:space="preserve">ą koralikami, chusteczki zalotne, </w:t>
      </w:r>
      <w:r w:rsidRPr="005B26EF">
        <w:rPr>
          <w:sz w:val="20"/>
          <w:szCs w:val="20"/>
          <w:highlight w:val="white"/>
          <w:lang w:val="pl-PL"/>
        </w:rPr>
        <w:t>haftowany</w:t>
      </w:r>
      <w:r w:rsidRPr="005B26EF">
        <w:rPr>
          <w:sz w:val="20"/>
          <w:szCs w:val="20"/>
          <w:lang w:val="pl-PL"/>
        </w:rPr>
        <w:t xml:space="preserve"> obr</w:t>
      </w:r>
      <w:r w:rsidRPr="005B26EF">
        <w:rPr>
          <w:sz w:val="20"/>
          <w:szCs w:val="20"/>
          <w:lang w:val="pl-PL"/>
        </w:rPr>
        <w:t>az „artystki nieprofesjonalnej” Łucji Mickiewicz.</w:t>
      </w:r>
    </w:p>
    <w:p w14:paraId="51929EAC" w14:textId="77777777" w:rsidR="00E3249E" w:rsidRPr="005B26EF" w:rsidRDefault="00E3249E">
      <w:pPr>
        <w:spacing w:before="1" w:line="300" w:lineRule="auto"/>
        <w:ind w:left="23" w:right="17"/>
        <w:jc w:val="both"/>
        <w:rPr>
          <w:sz w:val="20"/>
          <w:szCs w:val="20"/>
          <w:lang w:val="pl-PL"/>
        </w:rPr>
      </w:pPr>
    </w:p>
    <w:p w14:paraId="00DE0594" w14:textId="77777777" w:rsidR="00E3249E" w:rsidRPr="005B26EF" w:rsidRDefault="00632EB3">
      <w:pPr>
        <w:spacing w:before="1" w:line="300" w:lineRule="auto"/>
        <w:ind w:left="23" w:right="17"/>
        <w:jc w:val="both"/>
        <w:rPr>
          <w:sz w:val="20"/>
          <w:szCs w:val="20"/>
          <w:lang w:val="pl-PL"/>
        </w:rPr>
      </w:pPr>
      <w:r w:rsidRPr="005B26EF">
        <w:rPr>
          <w:sz w:val="20"/>
          <w:szCs w:val="20"/>
          <w:lang w:val="pl-PL"/>
        </w:rPr>
        <w:t>– Hafty były elementem edukacji dziewcząt i panien, a także zajęciem mniszek. Uznawano je za prace adekwatne dla kobiet. Hafty to były robótki, a nie robota. Dużą robotę miał artysta, a kobieta miała robótkę – opowiada prof. Ewa Klekot.</w:t>
      </w:r>
    </w:p>
    <w:p w14:paraId="6088B11E" w14:textId="77777777" w:rsidR="00E3249E" w:rsidRPr="005B26EF" w:rsidRDefault="00E3249E">
      <w:pPr>
        <w:spacing w:before="1" w:line="300" w:lineRule="auto"/>
        <w:ind w:left="23" w:right="17"/>
        <w:jc w:val="both"/>
        <w:rPr>
          <w:sz w:val="20"/>
          <w:szCs w:val="20"/>
          <w:lang w:val="pl-PL"/>
        </w:rPr>
      </w:pPr>
    </w:p>
    <w:p w14:paraId="76FFA822" w14:textId="77777777" w:rsidR="00E3249E" w:rsidRPr="005B26EF" w:rsidRDefault="00632EB3">
      <w:pPr>
        <w:pBdr>
          <w:top w:val="nil"/>
          <w:left w:val="nil"/>
          <w:bottom w:val="nil"/>
          <w:right w:val="nil"/>
          <w:between w:val="nil"/>
        </w:pBdr>
        <w:spacing w:before="1" w:line="300" w:lineRule="auto"/>
        <w:ind w:left="23" w:right="17"/>
        <w:jc w:val="both"/>
        <w:rPr>
          <w:sz w:val="20"/>
          <w:szCs w:val="20"/>
          <w:lang w:val="pl-PL"/>
        </w:rPr>
      </w:pPr>
      <w:r w:rsidRPr="005B26EF">
        <w:rPr>
          <w:sz w:val="20"/>
          <w:szCs w:val="20"/>
          <w:lang w:val="pl-PL"/>
        </w:rPr>
        <w:t>Do tego dochodziła</w:t>
      </w:r>
      <w:r w:rsidRPr="005B26EF">
        <w:rPr>
          <w:sz w:val="20"/>
          <w:szCs w:val="20"/>
          <w:lang w:val="pl-PL"/>
        </w:rPr>
        <w:t xml:space="preserve"> kwestia dostępu do edukacji artystycznej. Kobiety przez wieki nie miały na nią szans, bo nauka w akademiach wymagała malowania aktów męskich, a to ze względów obyczajowych było dla nich niedostępne. Mogły się co najwyżej realizować jako portrecistki albo </w:t>
      </w:r>
      <w:r w:rsidRPr="005B26EF">
        <w:rPr>
          <w:sz w:val="20"/>
          <w:szCs w:val="20"/>
          <w:lang w:val="pl-PL"/>
        </w:rPr>
        <w:t xml:space="preserve">ewentualnie – jak </w:t>
      </w:r>
      <w:proofErr w:type="spellStart"/>
      <w:r w:rsidRPr="005B26EF">
        <w:rPr>
          <w:sz w:val="20"/>
          <w:szCs w:val="20"/>
          <w:lang w:val="pl-PL"/>
        </w:rPr>
        <w:t>Artemisia</w:t>
      </w:r>
      <w:proofErr w:type="spellEnd"/>
      <w:r w:rsidRPr="005B26EF">
        <w:rPr>
          <w:sz w:val="20"/>
          <w:szCs w:val="20"/>
          <w:lang w:val="pl-PL"/>
        </w:rPr>
        <w:t xml:space="preserve"> </w:t>
      </w:r>
      <w:proofErr w:type="spellStart"/>
      <w:r w:rsidRPr="005B26EF">
        <w:rPr>
          <w:sz w:val="20"/>
          <w:szCs w:val="20"/>
          <w:lang w:val="pl-PL"/>
        </w:rPr>
        <w:t>Gentileschi</w:t>
      </w:r>
      <w:proofErr w:type="spellEnd"/>
      <w:r w:rsidRPr="005B26EF">
        <w:rPr>
          <w:sz w:val="20"/>
          <w:szCs w:val="20"/>
          <w:lang w:val="pl-PL"/>
        </w:rPr>
        <w:t xml:space="preserve"> – malowały akty kobiece, bo tego były w stanie się same nauczyć. Dopiero przełom XIX i XX wieku przyniósł im możliwość studiowania na równi z mężczyznami. </w:t>
      </w:r>
    </w:p>
    <w:p w14:paraId="48E21CA8" w14:textId="77777777" w:rsidR="00E3249E" w:rsidRPr="005B26EF" w:rsidRDefault="00E3249E">
      <w:pPr>
        <w:pBdr>
          <w:top w:val="nil"/>
          <w:left w:val="nil"/>
          <w:bottom w:val="nil"/>
          <w:right w:val="nil"/>
          <w:between w:val="nil"/>
        </w:pBdr>
        <w:spacing w:before="1" w:line="300" w:lineRule="auto"/>
        <w:ind w:left="23" w:right="17"/>
        <w:jc w:val="both"/>
        <w:rPr>
          <w:sz w:val="20"/>
          <w:szCs w:val="20"/>
          <w:lang w:val="pl-PL"/>
        </w:rPr>
      </w:pPr>
    </w:p>
    <w:p w14:paraId="2572400F" w14:textId="77777777" w:rsidR="00E3249E" w:rsidRPr="005B26EF" w:rsidRDefault="00632EB3">
      <w:pPr>
        <w:pBdr>
          <w:top w:val="nil"/>
          <w:left w:val="nil"/>
          <w:bottom w:val="nil"/>
          <w:right w:val="nil"/>
          <w:between w:val="nil"/>
        </w:pBdr>
        <w:spacing w:before="1" w:line="300" w:lineRule="auto"/>
        <w:ind w:left="23" w:right="17"/>
        <w:jc w:val="both"/>
        <w:rPr>
          <w:sz w:val="20"/>
          <w:szCs w:val="20"/>
          <w:lang w:val="pl-PL"/>
        </w:rPr>
      </w:pPr>
      <w:r w:rsidRPr="005B26EF">
        <w:rPr>
          <w:sz w:val="20"/>
          <w:szCs w:val="20"/>
          <w:lang w:val="pl-PL"/>
        </w:rPr>
        <w:t xml:space="preserve">Wcześniej ich obecność w świecie sztuki często pozostawała </w:t>
      </w:r>
      <w:r w:rsidRPr="005B26EF">
        <w:rPr>
          <w:sz w:val="20"/>
          <w:szCs w:val="20"/>
          <w:lang w:val="pl-PL"/>
        </w:rPr>
        <w:t xml:space="preserve">w ukryciu, co na wystawie pokazuje sala „Artysta nieznany był kobietą”. </w:t>
      </w:r>
    </w:p>
    <w:p w14:paraId="2B104FEC" w14:textId="77777777" w:rsidR="00E3249E" w:rsidRPr="005B26EF" w:rsidRDefault="00E3249E">
      <w:pPr>
        <w:pBdr>
          <w:top w:val="nil"/>
          <w:left w:val="nil"/>
          <w:bottom w:val="nil"/>
          <w:right w:val="nil"/>
          <w:between w:val="nil"/>
        </w:pBdr>
        <w:spacing w:before="1" w:line="300" w:lineRule="auto"/>
        <w:ind w:left="23" w:right="17"/>
        <w:jc w:val="both"/>
        <w:rPr>
          <w:sz w:val="20"/>
          <w:szCs w:val="20"/>
          <w:lang w:val="pl-PL"/>
        </w:rPr>
      </w:pPr>
    </w:p>
    <w:p w14:paraId="2BD6EDB9" w14:textId="77777777" w:rsidR="00E3249E" w:rsidRPr="005B26EF" w:rsidRDefault="00632EB3">
      <w:pPr>
        <w:pBdr>
          <w:top w:val="nil"/>
          <w:left w:val="nil"/>
          <w:bottom w:val="nil"/>
          <w:right w:val="nil"/>
          <w:between w:val="nil"/>
        </w:pBdr>
        <w:spacing w:before="1" w:line="300" w:lineRule="auto"/>
        <w:ind w:left="23" w:right="17"/>
        <w:jc w:val="both"/>
        <w:rPr>
          <w:rFonts w:ascii="Roboto" w:eastAsia="Roboto" w:hAnsi="Roboto" w:cs="Roboto"/>
          <w:b/>
          <w:bCs/>
          <w:sz w:val="21"/>
          <w:szCs w:val="21"/>
          <w:highlight w:val="white"/>
          <w:lang w:val="pl-PL"/>
        </w:rPr>
      </w:pPr>
      <w:r w:rsidRPr="005B26EF">
        <w:rPr>
          <w:rFonts w:ascii="Roboto" w:eastAsia="Roboto" w:hAnsi="Roboto" w:cs="Roboto"/>
          <w:b/>
          <w:bCs/>
          <w:sz w:val="21"/>
          <w:szCs w:val="21"/>
          <w:highlight w:val="white"/>
          <w:lang w:val="pl-PL"/>
        </w:rPr>
        <w:t xml:space="preserve">Artystki ludowe i </w:t>
      </w:r>
      <w:proofErr w:type="spellStart"/>
      <w:r w:rsidRPr="005B26EF">
        <w:rPr>
          <w:rFonts w:ascii="Roboto" w:eastAsia="Roboto" w:hAnsi="Roboto" w:cs="Roboto"/>
          <w:b/>
          <w:bCs/>
          <w:sz w:val="21"/>
          <w:szCs w:val="21"/>
          <w:highlight w:val="white"/>
          <w:lang w:val="pl-PL"/>
        </w:rPr>
        <w:t>neuroatypowe</w:t>
      </w:r>
      <w:proofErr w:type="spellEnd"/>
    </w:p>
    <w:p w14:paraId="6F6A95A4" w14:textId="77777777" w:rsidR="00E3249E" w:rsidRPr="005B26EF" w:rsidRDefault="00632EB3">
      <w:pPr>
        <w:pBdr>
          <w:top w:val="nil"/>
          <w:left w:val="nil"/>
          <w:bottom w:val="nil"/>
          <w:right w:val="nil"/>
          <w:between w:val="nil"/>
        </w:pBdr>
        <w:spacing w:before="1" w:line="300" w:lineRule="auto"/>
        <w:ind w:left="23" w:right="17"/>
        <w:jc w:val="both"/>
        <w:rPr>
          <w:sz w:val="20"/>
          <w:szCs w:val="20"/>
          <w:lang w:val="pl-PL"/>
        </w:rPr>
      </w:pPr>
      <w:r w:rsidRPr="005B26EF">
        <w:rPr>
          <w:sz w:val="20"/>
          <w:szCs w:val="20"/>
          <w:lang w:val="pl-PL"/>
        </w:rPr>
        <w:t>Twórczynie „nieprofesjonalne” były wykluczane ze sztuki podwójnie: nie tylko jako kobiety, ale także ze względów klasowych – przeważnie miały dość trud</w:t>
      </w:r>
      <w:r w:rsidRPr="005B26EF">
        <w:rPr>
          <w:sz w:val="20"/>
          <w:szCs w:val="20"/>
          <w:lang w:val="pl-PL"/>
        </w:rPr>
        <w:t>ne życie, ograniczone środki, słabe wykształcenie ogólne.</w:t>
      </w:r>
    </w:p>
    <w:p w14:paraId="66FBA0B3" w14:textId="77777777" w:rsidR="00E3249E" w:rsidRPr="005B26EF" w:rsidRDefault="00E3249E">
      <w:pPr>
        <w:pBdr>
          <w:top w:val="nil"/>
          <w:left w:val="nil"/>
          <w:bottom w:val="nil"/>
          <w:right w:val="nil"/>
          <w:between w:val="nil"/>
        </w:pBdr>
        <w:spacing w:before="1" w:line="300" w:lineRule="auto"/>
        <w:ind w:left="23" w:right="17"/>
        <w:jc w:val="both"/>
        <w:rPr>
          <w:sz w:val="20"/>
          <w:szCs w:val="20"/>
          <w:lang w:val="pl-PL"/>
        </w:rPr>
      </w:pPr>
    </w:p>
    <w:p w14:paraId="5E50D110" w14:textId="77777777" w:rsidR="00E3249E" w:rsidRPr="005B26EF" w:rsidRDefault="00632EB3">
      <w:pPr>
        <w:pBdr>
          <w:top w:val="nil"/>
          <w:left w:val="nil"/>
          <w:bottom w:val="nil"/>
          <w:right w:val="nil"/>
          <w:between w:val="nil"/>
        </w:pBdr>
        <w:spacing w:before="1" w:line="300" w:lineRule="auto"/>
        <w:ind w:left="23" w:right="17"/>
        <w:jc w:val="both"/>
        <w:rPr>
          <w:sz w:val="20"/>
          <w:szCs w:val="20"/>
          <w:lang w:val="pl-PL"/>
        </w:rPr>
      </w:pPr>
      <w:r w:rsidRPr="005B26EF">
        <w:rPr>
          <w:sz w:val="20"/>
          <w:szCs w:val="20"/>
          <w:lang w:val="pl-PL"/>
        </w:rPr>
        <w:t>– Ta grupa jest bardzo zróżnicowana. Mamy np. Felicję Curyłową ze wsi Zalipie, która bardzo świadomie weszła w kategorię sztuka ludowa wytworzoną na styku wieś–miasto z potrzeb miasta. Zyskała w ni</w:t>
      </w:r>
      <w:r w:rsidRPr="005B26EF">
        <w:rPr>
          <w:sz w:val="20"/>
          <w:szCs w:val="20"/>
          <w:lang w:val="pl-PL"/>
        </w:rPr>
        <w:t>ej uznanie, można powiedzieć, że zrobiła wielką karierę – opowiada prof. Ewa Klekot.</w:t>
      </w:r>
    </w:p>
    <w:p w14:paraId="5D712B14" w14:textId="77777777" w:rsidR="00E3249E" w:rsidRPr="005B26EF" w:rsidRDefault="00E3249E">
      <w:pPr>
        <w:pBdr>
          <w:top w:val="nil"/>
          <w:left w:val="nil"/>
          <w:bottom w:val="nil"/>
          <w:right w:val="nil"/>
          <w:between w:val="nil"/>
        </w:pBdr>
        <w:spacing w:before="1" w:line="300" w:lineRule="auto"/>
        <w:ind w:left="23" w:right="17"/>
        <w:jc w:val="both"/>
        <w:rPr>
          <w:sz w:val="20"/>
          <w:szCs w:val="20"/>
          <w:lang w:val="pl-PL"/>
        </w:rPr>
      </w:pPr>
    </w:p>
    <w:p w14:paraId="598E770E" w14:textId="6004ED58" w:rsidR="00E3249E" w:rsidRPr="005B26EF" w:rsidRDefault="00632EB3">
      <w:pPr>
        <w:pBdr>
          <w:top w:val="nil"/>
          <w:left w:val="nil"/>
          <w:bottom w:val="nil"/>
          <w:right w:val="nil"/>
          <w:between w:val="nil"/>
        </w:pBdr>
        <w:spacing w:before="1" w:line="300" w:lineRule="auto"/>
        <w:ind w:left="23" w:right="17"/>
        <w:jc w:val="both"/>
        <w:rPr>
          <w:sz w:val="20"/>
          <w:szCs w:val="20"/>
          <w:lang w:val="pl-PL"/>
        </w:rPr>
      </w:pPr>
      <w:r w:rsidRPr="005B26EF">
        <w:rPr>
          <w:sz w:val="20"/>
          <w:szCs w:val="20"/>
          <w:lang w:val="pl-PL"/>
        </w:rPr>
        <w:t xml:space="preserve">Na wystawie autoportret Felicji Curyłowej znajduje się w sali „Moc palety”. Alison M. </w:t>
      </w:r>
      <w:proofErr w:type="spellStart"/>
      <w:r w:rsidRPr="005B26EF">
        <w:rPr>
          <w:sz w:val="20"/>
          <w:szCs w:val="20"/>
          <w:lang w:val="pl-PL"/>
        </w:rPr>
        <w:t>Gingeras</w:t>
      </w:r>
      <w:proofErr w:type="spellEnd"/>
      <w:r w:rsidRPr="005B26EF">
        <w:rPr>
          <w:sz w:val="20"/>
          <w:szCs w:val="20"/>
          <w:lang w:val="pl-PL"/>
        </w:rPr>
        <w:t xml:space="preserve"> skomponowała go z wizerunkami profesjonalnych malarek. Curyłowa </w:t>
      </w:r>
      <w:r w:rsidRPr="005B26EF">
        <w:rPr>
          <w:sz w:val="20"/>
          <w:szCs w:val="20"/>
          <w:lang w:val="pl-PL"/>
        </w:rPr>
        <w:t>zamiast palety trzyma bukiet kwiatów, który stanowi atrybut jej profesji artystki ludowej (malowała dekoracyjne kompozycje kwiatowe).</w:t>
      </w:r>
    </w:p>
    <w:p w14:paraId="497A374A" w14:textId="77777777" w:rsidR="00E3249E" w:rsidRPr="005B26EF" w:rsidRDefault="00632EB3">
      <w:pPr>
        <w:pBdr>
          <w:top w:val="nil"/>
          <w:left w:val="nil"/>
          <w:bottom w:val="nil"/>
          <w:right w:val="nil"/>
          <w:between w:val="nil"/>
        </w:pBdr>
        <w:spacing w:before="1" w:line="300" w:lineRule="auto"/>
        <w:ind w:left="23" w:right="17"/>
        <w:jc w:val="both"/>
        <w:rPr>
          <w:sz w:val="20"/>
          <w:szCs w:val="20"/>
          <w:lang w:val="pl-PL"/>
        </w:rPr>
      </w:pPr>
      <w:r w:rsidRPr="005B26EF">
        <w:rPr>
          <w:sz w:val="20"/>
          <w:szCs w:val="20"/>
          <w:lang w:val="pl-PL"/>
        </w:rPr>
        <w:t xml:space="preserve"> </w:t>
      </w:r>
    </w:p>
    <w:p w14:paraId="70A7FE9A" w14:textId="77777777" w:rsidR="00E3249E" w:rsidRPr="005B26EF" w:rsidRDefault="00632EB3">
      <w:pPr>
        <w:pBdr>
          <w:top w:val="nil"/>
          <w:left w:val="nil"/>
          <w:bottom w:val="nil"/>
          <w:right w:val="nil"/>
          <w:between w:val="nil"/>
        </w:pBdr>
        <w:spacing w:before="1" w:line="300" w:lineRule="auto"/>
        <w:ind w:left="23" w:right="17"/>
        <w:jc w:val="both"/>
        <w:rPr>
          <w:sz w:val="20"/>
          <w:szCs w:val="20"/>
          <w:lang w:val="pl-PL"/>
        </w:rPr>
      </w:pPr>
      <w:r w:rsidRPr="005B26EF">
        <w:rPr>
          <w:sz w:val="20"/>
          <w:szCs w:val="20"/>
          <w:lang w:val="pl-PL"/>
        </w:rPr>
        <w:t>Innym przykładem artystki „nieprofesjonalnej” jest Katarzyna Gawłowa z podkrakowskiej wsi Zielonki. Malowała od dzieciń</w:t>
      </w:r>
      <w:r w:rsidRPr="005B26EF">
        <w:rPr>
          <w:sz w:val="20"/>
          <w:szCs w:val="20"/>
          <w:lang w:val="pl-PL"/>
        </w:rPr>
        <w:t xml:space="preserve">stwa, dekorując wnętrze własnego domu barwnymi malowidłami. Jej twórczość została odkryta przypadkiem pod koniec jej życia. </w:t>
      </w:r>
    </w:p>
    <w:p w14:paraId="77DF4949" w14:textId="77777777" w:rsidR="00E3249E" w:rsidRPr="005B26EF" w:rsidRDefault="00E3249E">
      <w:pPr>
        <w:pBdr>
          <w:top w:val="nil"/>
          <w:left w:val="nil"/>
          <w:bottom w:val="nil"/>
          <w:right w:val="nil"/>
          <w:between w:val="nil"/>
        </w:pBdr>
        <w:spacing w:before="1" w:line="300" w:lineRule="auto"/>
        <w:ind w:left="23" w:right="17"/>
        <w:jc w:val="both"/>
        <w:rPr>
          <w:sz w:val="20"/>
          <w:szCs w:val="20"/>
          <w:lang w:val="pl-PL"/>
        </w:rPr>
      </w:pPr>
    </w:p>
    <w:p w14:paraId="4C0B72B9" w14:textId="77777777" w:rsidR="00E3249E" w:rsidRPr="005B26EF" w:rsidRDefault="00632EB3">
      <w:pPr>
        <w:pBdr>
          <w:top w:val="nil"/>
          <w:left w:val="nil"/>
          <w:bottom w:val="nil"/>
          <w:right w:val="nil"/>
          <w:between w:val="nil"/>
        </w:pBdr>
        <w:spacing w:before="1" w:line="300" w:lineRule="auto"/>
        <w:ind w:left="23" w:right="17"/>
        <w:jc w:val="both"/>
        <w:rPr>
          <w:sz w:val="20"/>
          <w:szCs w:val="20"/>
          <w:lang w:val="pl-PL"/>
        </w:rPr>
      </w:pPr>
      <w:r w:rsidRPr="005B26EF">
        <w:rPr>
          <w:sz w:val="20"/>
          <w:szCs w:val="20"/>
          <w:lang w:val="pl-PL"/>
        </w:rPr>
        <w:t xml:space="preserve">Na wystawie są także prace artystek </w:t>
      </w:r>
      <w:proofErr w:type="spellStart"/>
      <w:r w:rsidRPr="005B26EF">
        <w:rPr>
          <w:sz w:val="20"/>
          <w:szCs w:val="20"/>
          <w:lang w:val="pl-PL"/>
        </w:rPr>
        <w:t>neuroatypowych</w:t>
      </w:r>
      <w:proofErr w:type="spellEnd"/>
      <w:r w:rsidRPr="005B26EF">
        <w:rPr>
          <w:sz w:val="20"/>
          <w:szCs w:val="20"/>
          <w:lang w:val="pl-PL"/>
        </w:rPr>
        <w:t xml:space="preserve"> o różnych biografiach, nie tylko tych artystycznych. Pochodząca z małopolskiej </w:t>
      </w:r>
      <w:r w:rsidRPr="005B26EF">
        <w:rPr>
          <w:sz w:val="20"/>
          <w:szCs w:val="20"/>
          <w:lang w:val="pl-PL"/>
        </w:rPr>
        <w:t xml:space="preserve">wsi malarka Maria Wnęk miała zdiagnozowaną schizofrenię. Natomiast współczesna artystka Justyna Matysiak, która cierpi na </w:t>
      </w:r>
      <w:proofErr w:type="spellStart"/>
      <w:r w:rsidRPr="005B26EF">
        <w:rPr>
          <w:sz w:val="20"/>
          <w:szCs w:val="20"/>
          <w:lang w:val="pl-PL"/>
        </w:rPr>
        <w:t>trisomię</w:t>
      </w:r>
      <w:proofErr w:type="spellEnd"/>
      <w:r w:rsidRPr="005B26EF">
        <w:rPr>
          <w:sz w:val="20"/>
          <w:szCs w:val="20"/>
          <w:lang w:val="pl-PL"/>
        </w:rPr>
        <w:t xml:space="preserve"> 21, zaczęła tworzyć podczas warsztatów terapii zajęciowej i okazało się, że jest bardzo utalentowana plastycznie.</w:t>
      </w:r>
    </w:p>
    <w:p w14:paraId="6E3D1120" w14:textId="77777777" w:rsidR="00E3249E" w:rsidRPr="005B26EF" w:rsidRDefault="00E3249E">
      <w:pPr>
        <w:pBdr>
          <w:top w:val="nil"/>
          <w:left w:val="nil"/>
          <w:bottom w:val="nil"/>
          <w:right w:val="nil"/>
          <w:between w:val="nil"/>
        </w:pBdr>
        <w:spacing w:before="1" w:line="300" w:lineRule="auto"/>
        <w:ind w:left="23" w:right="17"/>
        <w:jc w:val="both"/>
        <w:rPr>
          <w:sz w:val="20"/>
          <w:szCs w:val="20"/>
          <w:lang w:val="pl-PL"/>
        </w:rPr>
      </w:pPr>
    </w:p>
    <w:p w14:paraId="37C6E45F" w14:textId="77777777" w:rsidR="00E3249E" w:rsidRPr="005B26EF" w:rsidRDefault="00632EB3">
      <w:pPr>
        <w:pBdr>
          <w:top w:val="nil"/>
          <w:left w:val="nil"/>
          <w:bottom w:val="nil"/>
          <w:right w:val="nil"/>
          <w:between w:val="nil"/>
        </w:pBdr>
        <w:spacing w:before="1" w:line="300" w:lineRule="auto"/>
        <w:ind w:left="23" w:right="17"/>
        <w:jc w:val="both"/>
        <w:rPr>
          <w:rFonts w:ascii="Roboto" w:eastAsia="Roboto" w:hAnsi="Roboto" w:cs="Roboto"/>
          <w:b/>
          <w:bCs/>
          <w:sz w:val="21"/>
          <w:szCs w:val="21"/>
          <w:highlight w:val="white"/>
          <w:lang w:val="pl-PL"/>
        </w:rPr>
      </w:pPr>
      <w:r w:rsidRPr="005B26EF">
        <w:rPr>
          <w:rFonts w:ascii="Roboto" w:eastAsia="Roboto" w:hAnsi="Roboto" w:cs="Roboto"/>
          <w:b/>
          <w:bCs/>
          <w:sz w:val="21"/>
          <w:szCs w:val="21"/>
          <w:highlight w:val="white"/>
          <w:lang w:val="pl-PL"/>
        </w:rPr>
        <w:t>Macierzyńs</w:t>
      </w:r>
      <w:r w:rsidRPr="005B26EF">
        <w:rPr>
          <w:rFonts w:ascii="Roboto" w:eastAsia="Roboto" w:hAnsi="Roboto" w:cs="Roboto"/>
          <w:b/>
          <w:bCs/>
          <w:sz w:val="21"/>
          <w:szCs w:val="21"/>
          <w:highlight w:val="white"/>
          <w:lang w:val="pl-PL"/>
        </w:rPr>
        <w:t>two bez lukru i duchowe „ja”</w:t>
      </w:r>
    </w:p>
    <w:p w14:paraId="6433F224" w14:textId="77777777" w:rsidR="00E3249E" w:rsidRPr="005B26EF" w:rsidRDefault="00632EB3">
      <w:pPr>
        <w:pBdr>
          <w:top w:val="nil"/>
          <w:left w:val="nil"/>
          <w:bottom w:val="nil"/>
          <w:right w:val="nil"/>
          <w:between w:val="nil"/>
        </w:pBdr>
        <w:spacing w:before="1" w:line="300" w:lineRule="auto"/>
        <w:ind w:left="23" w:right="17"/>
        <w:jc w:val="both"/>
        <w:rPr>
          <w:sz w:val="20"/>
          <w:szCs w:val="20"/>
          <w:lang w:val="pl-PL"/>
        </w:rPr>
      </w:pPr>
      <w:r w:rsidRPr="005B26EF">
        <w:rPr>
          <w:sz w:val="20"/>
          <w:szCs w:val="20"/>
          <w:lang w:val="pl-PL"/>
        </w:rPr>
        <w:t>Wystawa ukazuje w nowym świetle tak ważne dla kobiet doświadczenia, jak duchowość, seksualność, macierzyństwo czy wojna. Mamy okazję zobaczyć, jak są odbierane z kobiecej – a nie tradycyjnej męskiej – perspektywy.</w:t>
      </w:r>
    </w:p>
    <w:p w14:paraId="37DD42EB" w14:textId="77777777" w:rsidR="00E3249E" w:rsidRPr="005B26EF" w:rsidRDefault="00E3249E">
      <w:pPr>
        <w:pBdr>
          <w:top w:val="nil"/>
          <w:left w:val="nil"/>
          <w:bottom w:val="nil"/>
          <w:right w:val="nil"/>
          <w:between w:val="nil"/>
        </w:pBdr>
        <w:spacing w:before="1" w:line="300" w:lineRule="auto"/>
        <w:ind w:left="23" w:right="17"/>
        <w:jc w:val="both"/>
        <w:rPr>
          <w:sz w:val="20"/>
          <w:szCs w:val="20"/>
          <w:lang w:val="pl-PL"/>
        </w:rPr>
      </w:pPr>
    </w:p>
    <w:p w14:paraId="3E5D042B" w14:textId="77777777" w:rsidR="00E3249E" w:rsidRPr="005B26EF" w:rsidRDefault="00632EB3">
      <w:pPr>
        <w:pBdr>
          <w:top w:val="nil"/>
          <w:left w:val="nil"/>
          <w:bottom w:val="nil"/>
          <w:right w:val="nil"/>
          <w:between w:val="nil"/>
        </w:pBdr>
        <w:spacing w:before="1" w:line="300" w:lineRule="auto"/>
        <w:ind w:left="23" w:right="17"/>
        <w:jc w:val="both"/>
        <w:rPr>
          <w:sz w:val="20"/>
          <w:szCs w:val="20"/>
          <w:lang w:val="pl-PL"/>
        </w:rPr>
      </w:pPr>
      <w:r w:rsidRPr="005B26EF">
        <w:rPr>
          <w:sz w:val="20"/>
          <w:szCs w:val="20"/>
          <w:lang w:val="pl-PL"/>
        </w:rPr>
        <w:t xml:space="preserve">– Dużym walorem tej wystawy jest pokazanie przez sztukę refleksji kobiet nad </w:t>
      </w:r>
      <w:r w:rsidRPr="005B26EF">
        <w:rPr>
          <w:sz w:val="20"/>
          <w:szCs w:val="20"/>
          <w:lang w:val="pl-PL"/>
        </w:rPr>
        <w:lastRenderedPageBreak/>
        <w:t>kobiecością, nad kobiecą seksualnością, nad macierzyństwem. Sala „Nadrealna jaźń, mistyczne ja” opowiada z kolei o tym, jak kobiety próbują zrozumieć siebie na poziomie duchowym –</w:t>
      </w:r>
      <w:r w:rsidRPr="005B26EF">
        <w:rPr>
          <w:sz w:val="20"/>
          <w:szCs w:val="20"/>
          <w:lang w:val="pl-PL"/>
        </w:rPr>
        <w:t xml:space="preserve"> mówi prof. Ewa Klekot.</w:t>
      </w:r>
    </w:p>
    <w:p w14:paraId="1175B473" w14:textId="77777777" w:rsidR="00E3249E" w:rsidRPr="005B26EF" w:rsidRDefault="00E3249E">
      <w:pPr>
        <w:pBdr>
          <w:top w:val="nil"/>
          <w:left w:val="nil"/>
          <w:bottom w:val="nil"/>
          <w:right w:val="nil"/>
          <w:between w:val="nil"/>
        </w:pBdr>
        <w:spacing w:before="1" w:line="300" w:lineRule="auto"/>
        <w:ind w:left="23" w:right="17"/>
        <w:jc w:val="both"/>
        <w:rPr>
          <w:sz w:val="20"/>
          <w:szCs w:val="20"/>
          <w:lang w:val="pl-PL"/>
        </w:rPr>
      </w:pPr>
    </w:p>
    <w:p w14:paraId="6B98568C" w14:textId="77777777" w:rsidR="00E3249E" w:rsidRPr="005B26EF" w:rsidRDefault="00632EB3">
      <w:pPr>
        <w:pBdr>
          <w:top w:val="nil"/>
          <w:left w:val="nil"/>
          <w:bottom w:val="nil"/>
          <w:right w:val="nil"/>
          <w:between w:val="nil"/>
        </w:pBdr>
        <w:spacing w:before="1" w:line="300" w:lineRule="auto"/>
        <w:ind w:left="23" w:right="17"/>
        <w:jc w:val="both"/>
        <w:rPr>
          <w:sz w:val="20"/>
          <w:szCs w:val="20"/>
          <w:lang w:val="pl-PL"/>
        </w:rPr>
      </w:pPr>
      <w:r w:rsidRPr="005B26EF">
        <w:rPr>
          <w:sz w:val="20"/>
          <w:szCs w:val="20"/>
          <w:lang w:val="pl-PL"/>
        </w:rPr>
        <w:t>W sali „Zrodzone z kobiety”, która opowiada o macierzyństwie, są eksponowane  wota woskowe i Nowe Latko – obiekty, które miały znaczenie obrzędowo magiczne. Wota składano, prosząc Matkę Boską lub świętych o urodzenie dziecka lub je</w:t>
      </w:r>
      <w:r w:rsidRPr="005B26EF">
        <w:rPr>
          <w:sz w:val="20"/>
          <w:szCs w:val="20"/>
          <w:lang w:val="pl-PL"/>
        </w:rPr>
        <w:t>go zdrowie. Nowe Latko to pieczywo obrzędowe, które przynosiło powodzenie na następny rok. Zazwyczaj na cieście były figurki zwierząt gospodarskich, ale na wystawie jest Nowe Latko wykonane przez zasłużoną twórczynię ludową Stefanię Konopkę, która wkompono</w:t>
      </w:r>
      <w:r w:rsidRPr="005B26EF">
        <w:rPr>
          <w:sz w:val="20"/>
          <w:szCs w:val="20"/>
          <w:lang w:val="pl-PL"/>
        </w:rPr>
        <w:t xml:space="preserve">wała na środku kobietę z malutkim niemowlakiem w powijakach. </w:t>
      </w:r>
    </w:p>
    <w:p w14:paraId="4E3D3098" w14:textId="77777777" w:rsidR="00E3249E" w:rsidRPr="005B26EF" w:rsidRDefault="00E3249E">
      <w:pPr>
        <w:pBdr>
          <w:top w:val="nil"/>
          <w:left w:val="nil"/>
          <w:bottom w:val="nil"/>
          <w:right w:val="nil"/>
          <w:between w:val="nil"/>
        </w:pBdr>
        <w:spacing w:before="1" w:line="300" w:lineRule="auto"/>
        <w:ind w:left="23" w:right="17"/>
        <w:jc w:val="both"/>
        <w:rPr>
          <w:sz w:val="20"/>
          <w:szCs w:val="20"/>
          <w:lang w:val="pl-PL"/>
        </w:rPr>
      </w:pPr>
    </w:p>
    <w:p w14:paraId="1C7E1B40" w14:textId="77777777" w:rsidR="00E3249E" w:rsidRPr="005B26EF" w:rsidRDefault="00632EB3">
      <w:pPr>
        <w:spacing w:before="1" w:line="300" w:lineRule="auto"/>
        <w:ind w:left="23" w:right="17"/>
        <w:jc w:val="both"/>
        <w:rPr>
          <w:sz w:val="20"/>
          <w:szCs w:val="20"/>
          <w:lang w:val="pl-PL"/>
        </w:rPr>
      </w:pPr>
      <w:r w:rsidRPr="005B26EF">
        <w:rPr>
          <w:sz w:val="20"/>
          <w:szCs w:val="20"/>
          <w:lang w:val="pl-PL"/>
        </w:rPr>
        <w:t>– Wota to dowody bardzo intymnego przeżywania własnej potrzeby macierzyństwa, która jest częścią kobiecości. Opowiadają nam o trosce o to, żeby to macierzyństwo się udało – wyjaśnia prof. Ewa Klekot.</w:t>
      </w:r>
    </w:p>
    <w:p w14:paraId="2CE82C89" w14:textId="77777777" w:rsidR="00E3249E" w:rsidRPr="005B26EF" w:rsidRDefault="00E3249E">
      <w:pPr>
        <w:spacing w:before="1" w:line="300" w:lineRule="auto"/>
        <w:ind w:left="23" w:right="17"/>
        <w:jc w:val="both"/>
        <w:rPr>
          <w:sz w:val="20"/>
          <w:szCs w:val="20"/>
          <w:lang w:val="pl-PL"/>
        </w:rPr>
      </w:pPr>
    </w:p>
    <w:p w14:paraId="620145C8" w14:textId="77777777" w:rsidR="00E3249E" w:rsidRPr="005B26EF" w:rsidRDefault="00632EB3">
      <w:pPr>
        <w:pBdr>
          <w:top w:val="nil"/>
          <w:left w:val="nil"/>
          <w:bottom w:val="nil"/>
          <w:right w:val="nil"/>
          <w:between w:val="nil"/>
        </w:pBdr>
        <w:spacing w:before="1" w:line="300" w:lineRule="auto"/>
        <w:ind w:left="23" w:right="17"/>
        <w:jc w:val="both"/>
        <w:rPr>
          <w:sz w:val="20"/>
          <w:szCs w:val="20"/>
          <w:lang w:val="pl-PL"/>
        </w:rPr>
      </w:pPr>
      <w:r w:rsidRPr="005B26EF">
        <w:rPr>
          <w:sz w:val="20"/>
          <w:szCs w:val="20"/>
          <w:lang w:val="pl-PL"/>
        </w:rPr>
        <w:t>Ekspertka zwraca uwagę na wstrząsający rysunek „Kobieta</w:t>
      </w:r>
      <w:r w:rsidRPr="005B26EF">
        <w:rPr>
          <w:sz w:val="20"/>
          <w:szCs w:val="20"/>
          <w:lang w:val="pl-PL"/>
        </w:rPr>
        <w:t xml:space="preserve"> ciężarna ciągnie kolczaste brony żelazne na roli”. W latach 70. XX wieku nadesłała go na konkurs „Rolnik i jego praca” Anna </w:t>
      </w:r>
      <w:proofErr w:type="spellStart"/>
      <w:r w:rsidRPr="005B26EF">
        <w:rPr>
          <w:sz w:val="20"/>
          <w:szCs w:val="20"/>
          <w:lang w:val="pl-PL"/>
        </w:rPr>
        <w:t>Sacha</w:t>
      </w:r>
      <w:proofErr w:type="spellEnd"/>
      <w:r w:rsidRPr="005B26EF">
        <w:rPr>
          <w:sz w:val="20"/>
          <w:szCs w:val="20"/>
          <w:lang w:val="pl-PL"/>
        </w:rPr>
        <w:t xml:space="preserve">, o której wiemy tylko, że była wdową po artyście ludowym. – To szczera odpowiedź wiejskiej kobiety na pytanie, jak wyglądała </w:t>
      </w:r>
      <w:r w:rsidRPr="005B26EF">
        <w:rPr>
          <w:sz w:val="20"/>
          <w:szCs w:val="20"/>
          <w:lang w:val="pl-PL"/>
        </w:rPr>
        <w:t>praca na roli i relacje w tradycyjnych gospodarstwach chłopskich. To opowieść o świecie, gdzie kobieta była częścią gospodarstwa, które stanowiło własność mężczyzny – zauważa prof. Ewa Klekot.</w:t>
      </w:r>
    </w:p>
    <w:p w14:paraId="65DEE478" w14:textId="77777777" w:rsidR="00E3249E" w:rsidRPr="005B26EF" w:rsidRDefault="00E3249E">
      <w:pPr>
        <w:pBdr>
          <w:top w:val="nil"/>
          <w:left w:val="nil"/>
          <w:bottom w:val="nil"/>
          <w:right w:val="nil"/>
          <w:between w:val="nil"/>
        </w:pBdr>
        <w:spacing w:before="1" w:line="300" w:lineRule="auto"/>
        <w:ind w:left="23" w:right="17"/>
        <w:jc w:val="both"/>
        <w:rPr>
          <w:sz w:val="20"/>
          <w:szCs w:val="20"/>
          <w:lang w:val="pl-PL"/>
        </w:rPr>
      </w:pPr>
    </w:p>
    <w:p w14:paraId="32EFAF21" w14:textId="77777777" w:rsidR="00E3249E" w:rsidRPr="005B26EF" w:rsidRDefault="00632EB3">
      <w:pPr>
        <w:pBdr>
          <w:top w:val="nil"/>
          <w:left w:val="nil"/>
          <w:bottom w:val="nil"/>
          <w:right w:val="nil"/>
          <w:between w:val="nil"/>
        </w:pBdr>
        <w:spacing w:before="1" w:line="300" w:lineRule="auto"/>
        <w:ind w:left="23" w:right="17"/>
        <w:jc w:val="both"/>
        <w:rPr>
          <w:sz w:val="20"/>
          <w:szCs w:val="20"/>
          <w:lang w:val="pl-PL"/>
        </w:rPr>
      </w:pPr>
      <w:r w:rsidRPr="005B26EF">
        <w:rPr>
          <w:sz w:val="20"/>
          <w:szCs w:val="20"/>
          <w:lang w:val="pl-PL"/>
        </w:rPr>
        <w:t xml:space="preserve">Z kolei baśniowo oniryczny obraz Leokadii </w:t>
      </w:r>
      <w:proofErr w:type="spellStart"/>
      <w:r w:rsidRPr="005B26EF">
        <w:rPr>
          <w:sz w:val="20"/>
          <w:szCs w:val="20"/>
          <w:lang w:val="pl-PL"/>
        </w:rPr>
        <w:t>Płonkowej</w:t>
      </w:r>
      <w:proofErr w:type="spellEnd"/>
      <w:r w:rsidRPr="005B26EF">
        <w:rPr>
          <w:sz w:val="20"/>
          <w:szCs w:val="20"/>
          <w:lang w:val="pl-PL"/>
        </w:rPr>
        <w:t xml:space="preserve"> „Przedwioś</w:t>
      </w:r>
      <w:r w:rsidRPr="005B26EF">
        <w:rPr>
          <w:sz w:val="20"/>
          <w:szCs w:val="20"/>
          <w:lang w:val="pl-PL"/>
        </w:rPr>
        <w:t>nie. Marysia zostaje sierotą” ukazuje scenę śmierci matki. W dawnym społeczeństwie wiejskim oznaczało to dla dziewczynki utratę nie tylko najbliższej osoby, ale także jedynego oparcia i często początek tragicznego losu. – W tamtych czasach było to  element</w:t>
      </w:r>
      <w:r w:rsidRPr="005B26EF">
        <w:rPr>
          <w:sz w:val="20"/>
          <w:szCs w:val="20"/>
          <w:lang w:val="pl-PL"/>
        </w:rPr>
        <w:t>em życia wielu kobiet. Pomyślałam, że ten obrazek warto umieścić na wystawie, żeby pokazać wątek przerwanego macierzyństwa i sieroctwa – opowiada antropolożka kultury.</w:t>
      </w:r>
    </w:p>
    <w:p w14:paraId="301E4F2B" w14:textId="77777777" w:rsidR="00E3249E" w:rsidRPr="005B26EF" w:rsidRDefault="00E3249E">
      <w:pPr>
        <w:pBdr>
          <w:top w:val="nil"/>
          <w:left w:val="nil"/>
          <w:bottom w:val="nil"/>
          <w:right w:val="nil"/>
          <w:between w:val="nil"/>
        </w:pBdr>
        <w:spacing w:before="1" w:line="300" w:lineRule="auto"/>
        <w:ind w:left="23" w:right="17"/>
        <w:jc w:val="both"/>
        <w:rPr>
          <w:sz w:val="20"/>
          <w:szCs w:val="20"/>
          <w:lang w:val="pl-PL"/>
        </w:rPr>
      </w:pPr>
    </w:p>
    <w:p w14:paraId="15CFF7B8" w14:textId="77777777" w:rsidR="00E3249E" w:rsidRPr="005B26EF" w:rsidRDefault="00632EB3">
      <w:pPr>
        <w:pBdr>
          <w:top w:val="nil"/>
          <w:left w:val="nil"/>
          <w:bottom w:val="nil"/>
          <w:right w:val="nil"/>
          <w:between w:val="nil"/>
        </w:pBdr>
        <w:spacing w:before="1" w:line="300" w:lineRule="auto"/>
        <w:ind w:left="23" w:right="17"/>
        <w:jc w:val="both"/>
        <w:rPr>
          <w:rFonts w:ascii="Roboto" w:eastAsia="Roboto" w:hAnsi="Roboto" w:cs="Roboto"/>
          <w:b/>
          <w:bCs/>
          <w:sz w:val="21"/>
          <w:szCs w:val="21"/>
          <w:highlight w:val="white"/>
          <w:lang w:val="pl-PL"/>
        </w:rPr>
      </w:pPr>
      <w:r w:rsidRPr="005B26EF">
        <w:rPr>
          <w:rFonts w:ascii="Roboto" w:eastAsia="Roboto" w:hAnsi="Roboto" w:cs="Roboto"/>
          <w:b/>
          <w:bCs/>
          <w:sz w:val="21"/>
          <w:szCs w:val="21"/>
          <w:highlight w:val="white"/>
          <w:lang w:val="pl-PL"/>
        </w:rPr>
        <w:t>Czy kwestia kobieca jest wciąż aktualna?</w:t>
      </w:r>
    </w:p>
    <w:p w14:paraId="665F122D" w14:textId="77777777" w:rsidR="00E3249E" w:rsidRPr="005B26EF" w:rsidRDefault="00632EB3">
      <w:pPr>
        <w:pBdr>
          <w:top w:val="nil"/>
          <w:left w:val="nil"/>
          <w:bottom w:val="nil"/>
          <w:right w:val="nil"/>
          <w:between w:val="nil"/>
        </w:pBdr>
        <w:spacing w:before="1" w:line="300" w:lineRule="auto"/>
        <w:ind w:left="23" w:right="17"/>
        <w:jc w:val="both"/>
        <w:rPr>
          <w:sz w:val="20"/>
          <w:szCs w:val="20"/>
          <w:lang w:val="pl-PL"/>
        </w:rPr>
      </w:pPr>
      <w:r w:rsidRPr="005B26EF">
        <w:rPr>
          <w:sz w:val="20"/>
          <w:szCs w:val="20"/>
          <w:lang w:val="pl-PL"/>
        </w:rPr>
        <w:t>Prof. Ewa Klekot brała także udział w tworzeni</w:t>
      </w:r>
      <w:r w:rsidRPr="005B26EF">
        <w:rPr>
          <w:sz w:val="20"/>
          <w:szCs w:val="20"/>
          <w:lang w:val="pl-PL"/>
        </w:rPr>
        <w:t xml:space="preserve">u katalogu wystawy. Jest autorką </w:t>
      </w:r>
      <w:r w:rsidRPr="005B26EF">
        <w:rPr>
          <w:sz w:val="20"/>
          <w:szCs w:val="20"/>
          <w:lang w:val="pl-PL"/>
        </w:rPr>
        <w:lastRenderedPageBreak/>
        <w:t xml:space="preserve">zamieszczonego w nim eseju „Kwestia kobieca w </w:t>
      </w:r>
      <w:proofErr w:type="spellStart"/>
      <w:r w:rsidRPr="005B26EF">
        <w:rPr>
          <w:sz w:val="20"/>
          <w:szCs w:val="20"/>
          <w:lang w:val="pl-PL"/>
        </w:rPr>
        <w:t>pluriversum</w:t>
      </w:r>
      <w:proofErr w:type="spellEnd"/>
      <w:r w:rsidRPr="005B26EF">
        <w:rPr>
          <w:sz w:val="20"/>
          <w:szCs w:val="20"/>
          <w:lang w:val="pl-PL"/>
        </w:rPr>
        <w:t xml:space="preserve"> sztuki”, w którym analizuje sytuację twórczyń podwójnie wykluczonych w klasowo zdefiniowanym świecie sztuki nowożytnej.</w:t>
      </w:r>
    </w:p>
    <w:p w14:paraId="68493B5C" w14:textId="77777777" w:rsidR="00E3249E" w:rsidRPr="005B26EF" w:rsidRDefault="00E3249E">
      <w:pPr>
        <w:pBdr>
          <w:top w:val="nil"/>
          <w:left w:val="nil"/>
          <w:bottom w:val="nil"/>
          <w:right w:val="nil"/>
          <w:between w:val="nil"/>
        </w:pBdr>
        <w:spacing w:before="1" w:line="300" w:lineRule="auto"/>
        <w:ind w:left="23" w:right="17"/>
        <w:jc w:val="both"/>
        <w:rPr>
          <w:sz w:val="20"/>
          <w:szCs w:val="20"/>
          <w:lang w:val="pl-PL"/>
        </w:rPr>
      </w:pPr>
    </w:p>
    <w:p w14:paraId="5C7731A8" w14:textId="77777777" w:rsidR="00E3249E" w:rsidRPr="005B26EF" w:rsidRDefault="00632EB3">
      <w:pPr>
        <w:pBdr>
          <w:top w:val="nil"/>
          <w:left w:val="nil"/>
          <w:bottom w:val="nil"/>
          <w:right w:val="nil"/>
          <w:between w:val="nil"/>
        </w:pBdr>
        <w:spacing w:before="1" w:line="300" w:lineRule="auto"/>
        <w:ind w:left="23" w:right="17"/>
        <w:jc w:val="both"/>
        <w:rPr>
          <w:sz w:val="20"/>
          <w:szCs w:val="20"/>
          <w:lang w:val="pl-PL"/>
        </w:rPr>
      </w:pPr>
      <w:r w:rsidRPr="005B26EF">
        <w:rPr>
          <w:sz w:val="20"/>
          <w:szCs w:val="20"/>
          <w:lang w:val="pl-PL"/>
        </w:rPr>
        <w:t>Choć współczesne artystki mają nieporównywal</w:t>
      </w:r>
      <w:r w:rsidRPr="005B26EF">
        <w:rPr>
          <w:sz w:val="20"/>
          <w:szCs w:val="20"/>
          <w:lang w:val="pl-PL"/>
        </w:rPr>
        <w:t xml:space="preserve">nie większe możliwości niż ich poprzedniczki, autorki wystawy w Muzeum Sztuki Nowoczesnej przestrzegają przed uznaniem walki o prawa kobiet za zakończoną. </w:t>
      </w:r>
    </w:p>
    <w:p w14:paraId="63B8CFD3" w14:textId="77777777" w:rsidR="00E3249E" w:rsidRPr="005B26EF" w:rsidRDefault="00E3249E">
      <w:pPr>
        <w:pBdr>
          <w:top w:val="nil"/>
          <w:left w:val="nil"/>
          <w:bottom w:val="nil"/>
          <w:right w:val="nil"/>
          <w:between w:val="nil"/>
        </w:pBdr>
        <w:spacing w:before="1" w:line="300" w:lineRule="auto"/>
        <w:ind w:left="23" w:right="17"/>
        <w:jc w:val="both"/>
        <w:rPr>
          <w:sz w:val="20"/>
          <w:szCs w:val="20"/>
          <w:lang w:val="pl-PL"/>
        </w:rPr>
      </w:pPr>
    </w:p>
    <w:p w14:paraId="4409AAAB" w14:textId="69D2FACB" w:rsidR="00E3249E" w:rsidRDefault="00632EB3">
      <w:pPr>
        <w:spacing w:before="1" w:line="300" w:lineRule="auto"/>
        <w:ind w:left="23" w:right="17"/>
        <w:jc w:val="both"/>
        <w:rPr>
          <w:i/>
          <w:iCs/>
          <w:sz w:val="20"/>
          <w:szCs w:val="20"/>
          <w:lang w:val="pl-PL"/>
        </w:rPr>
      </w:pPr>
      <w:r w:rsidRPr="005B26EF">
        <w:rPr>
          <w:i/>
          <w:iCs/>
          <w:sz w:val="20"/>
          <w:szCs w:val="20"/>
          <w:lang w:val="pl-PL"/>
        </w:rPr>
        <w:t>Wystawę „Kwestia kobieca 1550-2025” w Muzeum Sztuki Nowoczesnej w Warszawie można oglądać do 3 maja</w:t>
      </w:r>
      <w:r w:rsidRPr="005B26EF">
        <w:rPr>
          <w:i/>
          <w:iCs/>
          <w:sz w:val="20"/>
          <w:szCs w:val="20"/>
          <w:lang w:val="pl-PL"/>
        </w:rPr>
        <w:t xml:space="preserve"> 2026 r.</w:t>
      </w:r>
    </w:p>
    <w:p w14:paraId="5DEC3867" w14:textId="4A3CAE85" w:rsidR="005B26EF" w:rsidRDefault="005B26EF">
      <w:pPr>
        <w:spacing w:before="1" w:line="300" w:lineRule="auto"/>
        <w:ind w:left="23" w:right="17"/>
        <w:jc w:val="both"/>
        <w:rPr>
          <w:i/>
          <w:iCs/>
          <w:sz w:val="20"/>
          <w:szCs w:val="20"/>
          <w:lang w:val="pl-PL"/>
        </w:rPr>
      </w:pPr>
    </w:p>
    <w:p w14:paraId="3B6A1A58" w14:textId="77777777" w:rsidR="005B26EF" w:rsidRPr="00AE2B24" w:rsidRDefault="005B26EF" w:rsidP="005B26EF">
      <w:pPr>
        <w:widowControl/>
        <w:spacing w:line="276" w:lineRule="auto"/>
        <w:jc w:val="both"/>
        <w:rPr>
          <w:rFonts w:ascii="Arial" w:eastAsia="Arial" w:hAnsi="Arial" w:cs="Arial"/>
          <w:b/>
          <w:lang w:val="pl-PL"/>
        </w:rPr>
      </w:pPr>
      <w:r w:rsidRPr="00AE2B24">
        <w:rPr>
          <w:rFonts w:ascii="Arial" w:eastAsia="Arial" w:hAnsi="Arial" w:cs="Arial"/>
          <w:b/>
          <w:lang w:val="pl-PL"/>
        </w:rPr>
        <w:t>****</w:t>
      </w:r>
    </w:p>
    <w:p w14:paraId="708165C7" w14:textId="77777777" w:rsidR="005B26EF" w:rsidRPr="00AE2B24" w:rsidRDefault="005B26EF" w:rsidP="005B26EF">
      <w:pPr>
        <w:widowControl/>
        <w:spacing w:line="276" w:lineRule="auto"/>
        <w:jc w:val="both"/>
        <w:rPr>
          <w:b/>
          <w:sz w:val="20"/>
          <w:szCs w:val="20"/>
          <w:lang w:val="pl-PL"/>
        </w:rPr>
      </w:pPr>
    </w:p>
    <w:p w14:paraId="2F2A6BE5" w14:textId="77777777" w:rsidR="005B26EF" w:rsidRPr="00273E93" w:rsidRDefault="005B26EF" w:rsidP="005B26EF">
      <w:pPr>
        <w:widowControl/>
        <w:jc w:val="both"/>
        <w:rPr>
          <w:rFonts w:ascii="Times New Roman" w:eastAsia="Times New Roman" w:hAnsi="Times New Roman" w:cs="Times New Roman"/>
          <w:sz w:val="24"/>
          <w:szCs w:val="24"/>
          <w:lang w:val="pl-PL"/>
        </w:rPr>
      </w:pPr>
      <w:r w:rsidRPr="00273E93">
        <w:rPr>
          <w:rFonts w:eastAsia="Times New Roman" w:cs="Times New Roman"/>
          <w:b/>
          <w:bCs/>
          <w:color w:val="000000"/>
          <w:sz w:val="20"/>
          <w:szCs w:val="20"/>
          <w:lang w:val="pl-PL"/>
        </w:rPr>
        <w:t>Uniwersytet SWPS</w:t>
      </w:r>
      <w:r w:rsidRPr="00273E93">
        <w:rPr>
          <w:rFonts w:eastAsia="Times New Roman" w:cs="Times New Roman"/>
          <w:color w:val="000000"/>
          <w:sz w:val="20"/>
          <w:szCs w:val="20"/>
          <w:lang w:val="pl-PL"/>
        </w:rPr>
        <w:t xml:space="preserve"> to nowoczesna uczelnia oparta na trwałych wartościach. Silną pozycję zawdzięcza połączeniu wysokiej jakości dydaktyki z badaniami naukowymi prowadzonymi na najwyższym poziomie. Uczelnia kształci blisko 18 tys. studentek i studentów – w tym ponad tysiąc z zagranicy oraz ponad 4,5 tys. słuchaczek i słuchaczy studiów podyplomowych na ponad 50 kierunkach studiów stacjonarnych i ponad 40 niestacjonarnych i ok. 240 kierunkach studiów podyplomowych. Uniwersytet oferuje programy studiów z psychologii, prawa, zarządzania, dziennikarstwa, filologii, kulturoznawstwa, nowych technologii oraz grafiki i wzornictwa, a także edukację w postaci szkoleń i krótkich kursów akademickich. Uczelnia dba o wysoką wartość akademicką naszych programów oraz ich dostosowanie do wymagań zmieniającego się rynku pracy. Kampusy Uniwersytetu SWPS znajdują się w sześciu miastach: Warszawie (siedziba), Wrocławiu, Sopocie, Poznaniu, Katowicach i w Krakowie.</w:t>
      </w:r>
    </w:p>
    <w:p w14:paraId="0979F98D" w14:textId="77777777" w:rsidR="005B26EF" w:rsidRPr="00273E93" w:rsidRDefault="005B26EF" w:rsidP="005B26EF">
      <w:pPr>
        <w:widowControl/>
        <w:rPr>
          <w:rFonts w:ascii="Times New Roman" w:eastAsia="Times New Roman" w:hAnsi="Times New Roman" w:cs="Times New Roman"/>
          <w:sz w:val="24"/>
          <w:szCs w:val="24"/>
          <w:lang w:val="pl-PL"/>
        </w:rPr>
      </w:pPr>
    </w:p>
    <w:p w14:paraId="27674308" w14:textId="77777777" w:rsidR="005B26EF" w:rsidRPr="00273E93" w:rsidRDefault="005B26EF" w:rsidP="005B26EF">
      <w:pPr>
        <w:widowControl/>
        <w:jc w:val="both"/>
        <w:rPr>
          <w:rFonts w:ascii="Times New Roman" w:eastAsia="Times New Roman" w:hAnsi="Times New Roman" w:cs="Times New Roman"/>
          <w:sz w:val="24"/>
          <w:szCs w:val="24"/>
          <w:lang w:val="pl-PL"/>
        </w:rPr>
      </w:pPr>
      <w:r w:rsidRPr="00273E93">
        <w:rPr>
          <w:rFonts w:eastAsia="Times New Roman" w:cs="Times New Roman"/>
          <w:color w:val="000000"/>
          <w:sz w:val="20"/>
          <w:szCs w:val="20"/>
          <w:lang w:val="pl-PL"/>
        </w:rPr>
        <w:t>Uczelnia posiada uprawnienia do nadawania stopnia doktora oraz doktora habilitowanego w siedmiu dyscyplinach: psychologia, nauki o kulturze i religii, literaturoznawstwo, nauki prawne, nauki socjologiczne, nauki o polityce i administracji, sztuki plastyczne i konserwacja dzieł sztuki. Na Uniwersytecie SWPS funkcjonuje pięć instytutów naukowych, które zajmują się organizacją i koordynacją działalności naukowej pracowników badawczych i badawczo-dydaktycznych uczelni w poszczególnych dyscyplinach: Instytut Psychologii, Instytut Nauk Humanistycznych, Instytut Nauk Społecznych, Instytut Prawa oraz Instytut Projektowania. W uczelni działa blisko 30 centrów badawczych oraz ponad 175 kół naukowych.</w:t>
      </w:r>
    </w:p>
    <w:p w14:paraId="3F835536" w14:textId="77777777" w:rsidR="005B26EF" w:rsidRPr="00273E93" w:rsidRDefault="005B26EF" w:rsidP="005B26EF">
      <w:pPr>
        <w:widowControl/>
        <w:rPr>
          <w:rFonts w:ascii="Times New Roman" w:eastAsia="Times New Roman" w:hAnsi="Times New Roman" w:cs="Times New Roman"/>
          <w:sz w:val="24"/>
          <w:szCs w:val="24"/>
          <w:lang w:val="pl-PL"/>
        </w:rPr>
      </w:pPr>
    </w:p>
    <w:p w14:paraId="14FFFBC3" w14:textId="1137610D" w:rsidR="005B26EF" w:rsidRPr="005B26EF" w:rsidRDefault="005B26EF" w:rsidP="005B26EF">
      <w:pPr>
        <w:widowControl/>
        <w:jc w:val="both"/>
        <w:rPr>
          <w:rFonts w:ascii="Times New Roman" w:eastAsia="Times New Roman" w:hAnsi="Times New Roman" w:cs="Times New Roman"/>
          <w:sz w:val="24"/>
          <w:szCs w:val="24"/>
          <w:lang w:val="pl-PL"/>
        </w:rPr>
      </w:pPr>
      <w:r w:rsidRPr="00273E93">
        <w:rPr>
          <w:rFonts w:eastAsia="Times New Roman" w:cs="Times New Roman"/>
          <w:color w:val="000000"/>
          <w:sz w:val="20"/>
          <w:szCs w:val="20"/>
          <w:lang w:val="pl-PL"/>
        </w:rPr>
        <w:lastRenderedPageBreak/>
        <w:t xml:space="preserve">Uniwersytet SWPS należy do sojuszu </w:t>
      </w:r>
      <w:proofErr w:type="spellStart"/>
      <w:r w:rsidRPr="00273E93">
        <w:rPr>
          <w:rFonts w:eastAsia="Times New Roman" w:cs="Times New Roman"/>
          <w:color w:val="000000"/>
          <w:sz w:val="20"/>
          <w:szCs w:val="20"/>
          <w:lang w:val="pl-PL"/>
        </w:rPr>
        <w:t>European</w:t>
      </w:r>
      <w:proofErr w:type="spellEnd"/>
      <w:r w:rsidRPr="00273E93">
        <w:rPr>
          <w:rFonts w:eastAsia="Times New Roman" w:cs="Times New Roman"/>
          <w:color w:val="000000"/>
          <w:sz w:val="20"/>
          <w:szCs w:val="20"/>
          <w:lang w:val="pl-PL"/>
        </w:rPr>
        <w:t xml:space="preserve"> Reform University Alliance (ERUA). Jest to sojusz uczelni zawarty w ramach Inicjatywy Uniwersytetów Europejskich, powołanej i finansowanej przez Komisję Europejską.</w:t>
      </w:r>
    </w:p>
    <w:sectPr w:rsidR="005B26EF" w:rsidRPr="005B26EF">
      <w:headerReference w:type="even" r:id="rId6"/>
      <w:headerReference w:type="default" r:id="rId7"/>
      <w:footerReference w:type="default" r:id="rId8"/>
      <w:headerReference w:type="first" r:id="rId9"/>
      <w:pgSz w:w="11910" w:h="16840"/>
      <w:pgMar w:top="0" w:right="1701" w:bottom="2835" w:left="1701" w:header="3685" w:footer="1701"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2E083E" w14:textId="77777777" w:rsidR="00632EB3" w:rsidRDefault="00632EB3">
      <w:r>
        <w:separator/>
      </w:r>
    </w:p>
  </w:endnote>
  <w:endnote w:type="continuationSeparator" w:id="0">
    <w:p w14:paraId="374A3243" w14:textId="77777777" w:rsidR="00632EB3" w:rsidRDefault="00632E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tserrat">
    <w:altName w:val="Calibri"/>
    <w:charset w:val="EE"/>
    <w:family w:val="auto"/>
    <w:pitch w:val="variable"/>
    <w:sig w:usb0="2000020F" w:usb1="00000003" w:usb2="00000000" w:usb3="00000000" w:csb0="00000197" w:csb1="00000000"/>
    <w:embedRegular r:id="rId1" w:fontKey="{513D8D8A-8ED7-467F-8ADE-7A47D136FC01}"/>
    <w:embedBold r:id="rId2" w:fontKey="{95417994-FFAC-4DA9-8B75-3DCA923FB5D2}"/>
    <w:embedItalic r:id="rId3" w:fontKey="{76AA09DB-AACB-4084-813C-12F6B624EEF1}"/>
  </w:font>
  <w:font w:name="Times New Roman">
    <w:panose1 w:val="02020603050405020304"/>
    <w:charset w:val="EE"/>
    <w:family w:val="roman"/>
    <w:pitch w:val="variable"/>
    <w:sig w:usb0="E0002EFF" w:usb1="C000785B" w:usb2="00000009" w:usb3="00000000" w:csb0="000001FF" w:csb1="00000000"/>
  </w:font>
  <w:font w:name="Allura">
    <w:altName w:val="Calibri"/>
    <w:charset w:val="00"/>
    <w:family w:val="auto"/>
    <w:pitch w:val="default"/>
    <w:embedRegular r:id="rId4" w:fontKey="{4E86DD24-E1BD-4625-8CBF-0CD1714D7CA6}"/>
  </w:font>
  <w:font w:name="Georgia">
    <w:panose1 w:val="02040502050405020303"/>
    <w:charset w:val="EE"/>
    <w:family w:val="roman"/>
    <w:pitch w:val="variable"/>
    <w:sig w:usb0="00000287" w:usb1="00000000" w:usb2="00000000" w:usb3="00000000" w:csb0="0000009F" w:csb1="00000000"/>
    <w:embedItalic r:id="rId5" w:fontKey="{4BC8289A-0810-491F-AB5E-860A25C810F6}"/>
  </w:font>
  <w:font w:name="Arial">
    <w:panose1 w:val="020B0604020202020204"/>
    <w:charset w:val="EE"/>
    <w:family w:val="swiss"/>
    <w:pitch w:val="variable"/>
    <w:sig w:usb0="E0002EFF" w:usb1="C000785B" w:usb2="00000009" w:usb3="00000000" w:csb0="000001FF" w:csb1="00000000"/>
  </w:font>
  <w:font w:name="Roboto">
    <w:altName w:val="Arial"/>
    <w:charset w:val="00"/>
    <w:family w:val="auto"/>
    <w:pitch w:val="variable"/>
    <w:sig w:usb0="E00002FF" w:usb1="5000205B" w:usb2="00000020" w:usb3="00000000" w:csb0="0000019F" w:csb1="00000000"/>
    <w:embedBold r:id="rId6" w:fontKey="{C3194087-E33E-44E2-82B6-C35322A89858}"/>
  </w:font>
  <w:font w:name="Calibri">
    <w:panose1 w:val="020F0502020204030204"/>
    <w:charset w:val="EE"/>
    <w:family w:val="swiss"/>
    <w:pitch w:val="variable"/>
    <w:sig w:usb0="E4002EFF" w:usb1="C200247B" w:usb2="00000009" w:usb3="00000000" w:csb0="000001FF" w:csb1="00000000"/>
    <w:embedRegular r:id="rId7" w:fontKey="{DDD5612A-287A-4D79-B483-BB2D95B8DE95}"/>
  </w:font>
  <w:font w:name="Cambria">
    <w:panose1 w:val="02040503050406030204"/>
    <w:charset w:val="EE"/>
    <w:family w:val="roman"/>
    <w:pitch w:val="variable"/>
    <w:sig w:usb0="E00006FF" w:usb1="420024FF" w:usb2="02000000" w:usb3="00000000" w:csb0="0000019F" w:csb1="00000000"/>
    <w:embedRegular r:id="rId8" w:fontKey="{E185E766-43A2-48AA-98BB-FCA5277730D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289804" w14:textId="77777777" w:rsidR="00E3249E" w:rsidRDefault="00632EB3">
    <w:pPr>
      <w:pBdr>
        <w:top w:val="nil"/>
        <w:left w:val="nil"/>
        <w:bottom w:val="nil"/>
        <w:right w:val="nil"/>
        <w:between w:val="nil"/>
      </w:pBdr>
      <w:tabs>
        <w:tab w:val="center" w:pos="4536"/>
        <w:tab w:val="right" w:pos="9072"/>
      </w:tabs>
      <w:rPr>
        <w:color w:val="000000"/>
      </w:rPr>
    </w:pPr>
    <w:r>
      <w:rPr>
        <w:noProof/>
      </w:rPr>
      <mc:AlternateContent>
        <mc:Choice Requires="wpg">
          <w:drawing>
            <wp:anchor distT="0" distB="0" distL="0" distR="0" simplePos="0" relativeHeight="251656704" behindDoc="1" locked="0" layoutInCell="1" hidden="0" allowOverlap="1" wp14:anchorId="069DF080" wp14:editId="74200DA1">
              <wp:simplePos x="0" y="0"/>
              <wp:positionH relativeFrom="column">
                <wp:posOffset>0</wp:posOffset>
              </wp:positionH>
              <wp:positionV relativeFrom="paragraph">
                <wp:posOffset>9563100</wp:posOffset>
              </wp:positionV>
              <wp:extent cx="3571110" cy="427230"/>
              <wp:effectExtent l="0" t="0" r="0" b="0"/>
              <wp:wrapNone/>
              <wp:docPr id="1" name="Prostokąt 1"/>
              <wp:cNvGraphicFramePr/>
              <a:graphic xmlns:a="http://schemas.openxmlformats.org/drawingml/2006/main">
                <a:graphicData uri="http://schemas.microsoft.com/office/word/2010/wordprocessingShape">
                  <wps:wsp>
                    <wps:cNvSpPr/>
                    <wps:spPr>
                      <a:xfrm>
                        <a:off x="3589020" y="3594960"/>
                        <a:ext cx="3513960" cy="370080"/>
                      </a:xfrm>
                      <a:prstGeom prst="rect">
                        <a:avLst/>
                      </a:prstGeom>
                      <a:noFill/>
                      <a:ln>
                        <a:noFill/>
                      </a:ln>
                    </wps:spPr>
                    <wps:txbx>
                      <w:txbxContent>
                        <w:p w14:paraId="018DC68D" w14:textId="77777777" w:rsidR="00E3249E" w:rsidRDefault="00632EB3">
                          <w:pPr>
                            <w:spacing w:line="275" w:lineRule="auto"/>
                            <w:textDirection w:val="btLr"/>
                          </w:pPr>
                          <w:proofErr w:type="spellStart"/>
                          <w:r>
                            <w:rPr>
                              <w:color w:val="000000"/>
                              <w:sz w:val="14"/>
                            </w:rPr>
                            <w:t>Uniwersytet</w:t>
                          </w:r>
                          <w:proofErr w:type="spellEnd"/>
                          <w:r>
                            <w:rPr>
                              <w:color w:val="000000"/>
                              <w:sz w:val="14"/>
                            </w:rPr>
                            <w:t xml:space="preserve"> SWPS</w:t>
                          </w:r>
                        </w:p>
                        <w:p w14:paraId="3706C8B2" w14:textId="77777777" w:rsidR="00E3249E" w:rsidRDefault="00632EB3">
                          <w:pPr>
                            <w:spacing w:line="275" w:lineRule="auto"/>
                            <w:textDirection w:val="btLr"/>
                          </w:pPr>
                          <w:r>
                            <w:rPr>
                              <w:color w:val="000000"/>
                              <w:sz w:val="14"/>
                            </w:rPr>
                            <w:t xml:space="preserve">ul. </w:t>
                          </w:r>
                          <w:proofErr w:type="spellStart"/>
                          <w:r>
                            <w:rPr>
                              <w:color w:val="000000"/>
                              <w:sz w:val="14"/>
                            </w:rPr>
                            <w:t>Chodakowska</w:t>
                          </w:r>
                          <w:proofErr w:type="spellEnd"/>
                          <w:r>
                            <w:rPr>
                              <w:color w:val="000000"/>
                              <w:sz w:val="14"/>
                            </w:rPr>
                            <w:t xml:space="preserve"> 19/31, 03-815 Warszawa</w:t>
                          </w: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0</wp:posOffset>
              </wp:positionH>
              <wp:positionV relativeFrom="paragraph">
                <wp:posOffset>9563100</wp:posOffset>
              </wp:positionV>
              <wp:extent cx="3571110" cy="427230"/>
              <wp:effectExtent b="0" l="0" r="0" t="0"/>
              <wp:wrapNone/>
              <wp:docPr id="1" name="image1.png"/>
              <a:graphic>
                <a:graphicData uri="http://schemas.openxmlformats.org/drawingml/2006/picture">
                  <pic:pic>
                    <pic:nvPicPr>
                      <pic:cNvPr id="0" name="image1.png"/>
                      <pic:cNvPicPr preferRelativeResize="0"/>
                    </pic:nvPicPr>
                    <pic:blipFill>
                      <a:blip r:embed="rId1"/>
                      <a:srcRect/>
                      <a:stretch>
                        <a:fillRect/>
                      </a:stretch>
                    </pic:blipFill>
                    <pic:spPr>
                      <a:xfrm>
                        <a:off x="0" y="0"/>
                        <a:ext cx="3571110" cy="427230"/>
                      </a:xfrm>
                      <a:prstGeom prst="rect"/>
                      <a:ln/>
                    </pic:spPr>
                  </pic:pic>
                </a:graphicData>
              </a:graphic>
            </wp:anchor>
          </w:drawing>
        </mc:Fallback>
      </mc:AlternateContent>
    </w:r>
    <w:r>
      <w:rPr>
        <w:noProof/>
      </w:rPr>
      <mc:AlternateContent>
        <mc:Choice Requires="wpg">
          <w:drawing>
            <wp:anchor distT="0" distB="0" distL="0" distR="0" simplePos="0" relativeHeight="251657728" behindDoc="1" locked="0" layoutInCell="1" hidden="0" allowOverlap="1" wp14:anchorId="0CB7BCFF" wp14:editId="7FDA3E80">
              <wp:simplePos x="0" y="0"/>
              <wp:positionH relativeFrom="column">
                <wp:posOffset>-901699</wp:posOffset>
              </wp:positionH>
              <wp:positionV relativeFrom="paragraph">
                <wp:posOffset>9817100</wp:posOffset>
              </wp:positionV>
              <wp:extent cx="958950" cy="176670"/>
              <wp:effectExtent l="0" t="0" r="0" b="0"/>
              <wp:wrapNone/>
              <wp:docPr id="2" name="Prostokąt 2"/>
              <wp:cNvGraphicFramePr/>
              <a:graphic xmlns:a="http://schemas.openxmlformats.org/drawingml/2006/main">
                <a:graphicData uri="http://schemas.microsoft.com/office/word/2010/wordprocessingShape">
                  <wps:wsp>
                    <wps:cNvSpPr/>
                    <wps:spPr>
                      <a:xfrm>
                        <a:off x="4895100" y="3720240"/>
                        <a:ext cx="901800" cy="119520"/>
                      </a:xfrm>
                      <a:prstGeom prst="rect">
                        <a:avLst/>
                      </a:prstGeom>
                      <a:noFill/>
                      <a:ln>
                        <a:noFill/>
                      </a:ln>
                    </wps:spPr>
                    <wps:txbx>
                      <w:txbxContent>
                        <w:p w14:paraId="406FB522" w14:textId="77777777" w:rsidR="00E3249E" w:rsidRDefault="00632EB3">
                          <w:pPr>
                            <w:spacing w:before="20"/>
                            <w:ind w:left="20" w:firstLine="120"/>
                            <w:jc w:val="right"/>
                            <w:textDirection w:val="btLr"/>
                          </w:pPr>
                          <w:r>
                            <w:rPr>
                              <w:b/>
                              <w:color w:val="000000"/>
                              <w:sz w:val="14"/>
                            </w:rPr>
                            <w:t>www.swps.pl</w:t>
                          </w: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-901699</wp:posOffset>
              </wp:positionH>
              <wp:positionV relativeFrom="paragraph">
                <wp:posOffset>9817100</wp:posOffset>
              </wp:positionV>
              <wp:extent cx="958950" cy="176670"/>
              <wp:effectExtent b="0" l="0" r="0" t="0"/>
              <wp:wrapNone/>
              <wp:docPr id="2"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958950" cy="17667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895B68" w14:textId="77777777" w:rsidR="00632EB3" w:rsidRDefault="00632EB3">
      <w:r>
        <w:separator/>
      </w:r>
    </w:p>
  </w:footnote>
  <w:footnote w:type="continuationSeparator" w:id="0">
    <w:p w14:paraId="11BB2E48" w14:textId="77777777" w:rsidR="00632EB3" w:rsidRDefault="00632E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2217F9" w14:textId="77777777" w:rsidR="00E3249E" w:rsidRDefault="00632EB3">
    <w:pPr>
      <w:pBdr>
        <w:top w:val="nil"/>
        <w:left w:val="nil"/>
        <w:bottom w:val="nil"/>
        <w:right w:val="nil"/>
        <w:between w:val="nil"/>
      </w:pBdr>
      <w:tabs>
        <w:tab w:val="center" w:pos="4536"/>
        <w:tab w:val="right" w:pos="9072"/>
      </w:tabs>
      <w:rPr>
        <w:color w:val="000000"/>
      </w:rPr>
    </w:pPr>
    <w:r>
      <w:rPr>
        <w:color w:val="000000"/>
      </w:rPr>
      <w:pict w14:anchorId="43E3C1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alt="" style="position:absolute;margin-left:0;margin-top:0;width:441.9pt;height:625.15pt;z-index:-251656704;mso-position-horizontal:center;mso-position-horizontal-relative:margin;mso-position-vertical:center;mso-position-vertical-relative:margin">
          <v:imagedata r:id="rId1" o:title="image3"/>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F9D812" w14:textId="77777777" w:rsidR="00E3249E" w:rsidRDefault="00632EB3">
    <w:pPr>
      <w:pBdr>
        <w:top w:val="nil"/>
        <w:left w:val="nil"/>
        <w:bottom w:val="nil"/>
        <w:right w:val="nil"/>
        <w:between w:val="nil"/>
      </w:pBdr>
      <w:tabs>
        <w:tab w:val="center" w:pos="4536"/>
        <w:tab w:val="right" w:pos="9072"/>
      </w:tabs>
      <w:rPr>
        <w:color w:val="000000"/>
      </w:rPr>
    </w:pPr>
    <w:r>
      <w:rPr>
        <w:noProof/>
        <w:color w:val="000000"/>
      </w:rPr>
      <w:drawing>
        <wp:anchor distT="0" distB="0" distL="0" distR="0" simplePos="0" relativeHeight="251655680" behindDoc="1" locked="0" layoutInCell="1" hidden="0" allowOverlap="1" wp14:anchorId="1381B67E" wp14:editId="7242C574">
          <wp:simplePos x="0" y="0"/>
          <wp:positionH relativeFrom="page">
            <wp:align>center</wp:align>
          </wp:positionH>
          <wp:positionV relativeFrom="page">
            <wp:align>center</wp:align>
          </wp:positionV>
          <wp:extent cx="7556760" cy="10692000"/>
          <wp:effectExtent l="0" t="0" r="0" b="0"/>
          <wp:wrapNone/>
          <wp:docPr id="3"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
                  <a:srcRect/>
                  <a:stretch>
                    <a:fillRect/>
                  </a:stretch>
                </pic:blipFill>
                <pic:spPr>
                  <a:xfrm>
                    <a:off x="0" y="0"/>
                    <a:ext cx="7556760" cy="1069200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E8D89" w14:textId="77777777" w:rsidR="00E3249E" w:rsidRDefault="00632EB3">
    <w:pPr>
      <w:pBdr>
        <w:top w:val="nil"/>
        <w:left w:val="nil"/>
        <w:bottom w:val="nil"/>
        <w:right w:val="nil"/>
        <w:between w:val="nil"/>
      </w:pBdr>
      <w:tabs>
        <w:tab w:val="center" w:pos="4536"/>
        <w:tab w:val="right" w:pos="9072"/>
      </w:tabs>
      <w:rPr>
        <w:color w:val="000000"/>
      </w:rPr>
    </w:pPr>
    <w:r>
      <w:rPr>
        <w:color w:val="000000"/>
      </w:rPr>
      <w:pict w14:anchorId="729CB9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0" type="#_x0000_t75" alt="" style="position:absolute;margin-left:0;margin-top:0;width:441.9pt;height:625.15pt;z-index:-251657728;mso-position-horizontal:center;mso-position-horizontal-relative:margin;mso-position-vertical:center;mso-position-vertical-relative:margin">
          <v:imagedata r:id="rId1" o:title="image3"/>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249E"/>
    <w:rsid w:val="005B26EF"/>
    <w:rsid w:val="00632EB3"/>
    <w:rsid w:val="00E3249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41493F8A"/>
  <w15:docId w15:val="{7F8299EB-E4B9-4FF3-88F2-B90FE7AF17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ontserrat" w:eastAsia="Montserrat" w:hAnsi="Montserrat" w:cs="Montserrat"/>
        <w:sz w:val="22"/>
        <w:szCs w:val="22"/>
        <w:lang w:val="en-US" w:eastAsia="pl-P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pBdr>
        <w:top w:val="nil"/>
        <w:left w:val="nil"/>
        <w:bottom w:val="nil"/>
        <w:right w:val="nil"/>
        <w:between w:val="nil"/>
      </w:pBdr>
      <w:spacing w:before="480" w:after="120"/>
      <w:outlineLvl w:val="0"/>
    </w:pPr>
    <w:rPr>
      <w:b/>
      <w:bCs/>
      <w:color w:val="000000"/>
      <w:sz w:val="48"/>
      <w:szCs w:val="48"/>
    </w:rPr>
  </w:style>
  <w:style w:type="paragraph" w:styleId="Nagwek2">
    <w:name w:val="heading 2"/>
    <w:basedOn w:val="Normalny"/>
    <w:next w:val="Normalny"/>
    <w:uiPriority w:val="9"/>
    <w:semiHidden/>
    <w:unhideWhenUsed/>
    <w:qFormat/>
    <w:pPr>
      <w:keepNext/>
      <w:keepLines/>
      <w:pBdr>
        <w:top w:val="nil"/>
        <w:left w:val="nil"/>
        <w:bottom w:val="nil"/>
        <w:right w:val="nil"/>
        <w:between w:val="nil"/>
      </w:pBdr>
      <w:spacing w:before="360" w:after="80"/>
      <w:outlineLvl w:val="1"/>
    </w:pPr>
    <w:rPr>
      <w:b/>
      <w:bCs/>
      <w:color w:val="000000"/>
      <w:sz w:val="36"/>
      <w:szCs w:val="36"/>
    </w:rPr>
  </w:style>
  <w:style w:type="paragraph" w:styleId="Nagwek3">
    <w:name w:val="heading 3"/>
    <w:basedOn w:val="Normalny"/>
    <w:next w:val="Normalny"/>
    <w:uiPriority w:val="9"/>
    <w:semiHidden/>
    <w:unhideWhenUsed/>
    <w:qFormat/>
    <w:pPr>
      <w:keepNext/>
      <w:keepLines/>
      <w:pBdr>
        <w:top w:val="nil"/>
        <w:left w:val="nil"/>
        <w:bottom w:val="nil"/>
        <w:right w:val="nil"/>
        <w:between w:val="nil"/>
      </w:pBdr>
      <w:spacing w:before="280" w:after="80"/>
      <w:outlineLvl w:val="2"/>
    </w:pPr>
    <w:rPr>
      <w:b/>
      <w:bCs/>
      <w:color w:val="000000"/>
      <w:sz w:val="28"/>
      <w:szCs w:val="28"/>
    </w:rPr>
  </w:style>
  <w:style w:type="paragraph" w:styleId="Nagwek4">
    <w:name w:val="heading 4"/>
    <w:basedOn w:val="Normalny"/>
    <w:next w:val="Normalny"/>
    <w:uiPriority w:val="9"/>
    <w:semiHidden/>
    <w:unhideWhenUsed/>
    <w:qFormat/>
    <w:pPr>
      <w:keepNext/>
      <w:keepLines/>
      <w:pBdr>
        <w:top w:val="nil"/>
        <w:left w:val="nil"/>
        <w:bottom w:val="nil"/>
        <w:right w:val="nil"/>
        <w:between w:val="nil"/>
      </w:pBdr>
      <w:spacing w:before="240" w:after="40"/>
      <w:outlineLvl w:val="3"/>
    </w:pPr>
    <w:rPr>
      <w:b/>
      <w:bCs/>
      <w:color w:val="000000"/>
      <w:sz w:val="24"/>
      <w:szCs w:val="24"/>
    </w:rPr>
  </w:style>
  <w:style w:type="paragraph" w:styleId="Nagwek5">
    <w:name w:val="heading 5"/>
    <w:basedOn w:val="Normalny"/>
    <w:next w:val="Normalny"/>
    <w:uiPriority w:val="9"/>
    <w:semiHidden/>
    <w:unhideWhenUsed/>
    <w:qFormat/>
    <w:pPr>
      <w:keepNext/>
      <w:keepLines/>
      <w:pBdr>
        <w:top w:val="nil"/>
        <w:left w:val="nil"/>
        <w:bottom w:val="nil"/>
        <w:right w:val="nil"/>
        <w:between w:val="nil"/>
      </w:pBdr>
      <w:spacing w:before="220" w:after="40"/>
      <w:outlineLvl w:val="4"/>
    </w:pPr>
    <w:rPr>
      <w:b/>
      <w:bCs/>
      <w:color w:val="000000"/>
    </w:rPr>
  </w:style>
  <w:style w:type="paragraph" w:styleId="Nagwek6">
    <w:name w:val="heading 6"/>
    <w:basedOn w:val="Normalny"/>
    <w:next w:val="Normalny"/>
    <w:uiPriority w:val="9"/>
    <w:semiHidden/>
    <w:unhideWhenUsed/>
    <w:qFormat/>
    <w:pPr>
      <w:keepNext/>
      <w:keepLines/>
      <w:pBdr>
        <w:top w:val="nil"/>
        <w:left w:val="nil"/>
        <w:bottom w:val="nil"/>
        <w:right w:val="nil"/>
        <w:between w:val="nil"/>
      </w:pBdr>
      <w:spacing w:before="200" w:after="40"/>
      <w:outlineLvl w:val="5"/>
    </w:pPr>
    <w:rPr>
      <w:b/>
      <w:bCs/>
      <w:color w:val="000000"/>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before="25"/>
      <w:ind w:left="20"/>
    </w:pPr>
    <w:rPr>
      <w:rFonts w:ascii="Allura" w:eastAsia="Allura" w:hAnsi="Allura" w:cs="Allura"/>
      <w:sz w:val="59"/>
      <w:szCs w:val="59"/>
    </w:rPr>
  </w:style>
  <w:style w:type="paragraph" w:styleId="Podtytu">
    <w:name w:val="Subtitle"/>
    <w:basedOn w:val="Normalny"/>
    <w:next w:val="Normalny"/>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1463</Words>
  <Characters>8780</Characters>
  <Application>Microsoft Office Word</Application>
  <DocSecurity>0</DocSecurity>
  <Lines>73</Lines>
  <Paragraphs>20</Paragraphs>
  <ScaleCrop>false</ScaleCrop>
  <Company/>
  <LinksUpToDate>false</LinksUpToDate>
  <CharactersWithSpaces>10223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Malwina Buszko</cp:lastModifiedBy>
  <cp:revision>3</cp:revision>
  <dcterms:created xsi:type="dcterms:W3CDTF">2026-03-02T08:12:00Z</dcterms:created>
  <dcterms:modified xsi:type="dcterms:W3CDTF">2026-03-02T08:14:00Z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lpwstr>2021-08-23T00:00:00Z</vt:lpwstr>
  </property>
  <property fmtid="{D5CDD505-2E9C-101B-9397-08002B2CF9AE}" pid="3" name="Creator">
    <vt:lpwstr>Adobe Illustrator 25.0 (Macintosh)</vt:lpwstr>
  </property>
  <property fmtid="{D5CDD505-2E9C-101B-9397-08002B2CF9AE}" pid="4" name="Created">
    <vt:lpwstr>2021-08-23T00:00:00Z</vt:lpwstr>
  </property>
</Properties>
</file>