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91397" w14:textId="77777777" w:rsidR="004848A4" w:rsidRPr="009E4DC1" w:rsidRDefault="00875ADB">
      <w:pPr>
        <w:rPr>
          <w:b/>
          <w:sz w:val="28"/>
          <w:szCs w:val="28"/>
          <w:lang w:val="pl-PL"/>
        </w:rPr>
      </w:pPr>
      <w:r w:rsidRPr="009E4DC1">
        <w:rPr>
          <w:b/>
          <w:sz w:val="28"/>
          <w:szCs w:val="28"/>
          <w:lang w:val="pl-PL"/>
        </w:rPr>
        <w:t>Jak kształtuje się zaufanie do naukowców? Sprawdzono to w międzynarodowym badaniu</w:t>
      </w:r>
    </w:p>
    <w:p w14:paraId="4F814B4A" w14:textId="77777777" w:rsidR="004848A4" w:rsidRPr="009E4DC1" w:rsidRDefault="00875ADB">
      <w:pPr>
        <w:rPr>
          <w:b/>
          <w:sz w:val="28"/>
          <w:szCs w:val="28"/>
          <w:lang w:val="pl-PL"/>
        </w:rPr>
      </w:pPr>
      <w:r w:rsidRPr="009E4DC1">
        <w:rPr>
          <w:b/>
          <w:sz w:val="20"/>
          <w:szCs w:val="20"/>
          <w:lang w:val="pl-PL"/>
        </w:rPr>
        <w:t xml:space="preserve"> </w:t>
      </w:r>
    </w:p>
    <w:p w14:paraId="2E324201" w14:textId="77777777" w:rsidR="004848A4" w:rsidRPr="009E4DC1" w:rsidRDefault="004848A4">
      <w:pPr>
        <w:rPr>
          <w:b/>
          <w:sz w:val="20"/>
          <w:szCs w:val="20"/>
          <w:lang w:val="pl-PL"/>
        </w:rPr>
      </w:pPr>
    </w:p>
    <w:p w14:paraId="591AFE52" w14:textId="77777777" w:rsidR="004848A4" w:rsidRPr="009E4DC1" w:rsidRDefault="00875ADB">
      <w:pPr>
        <w:jc w:val="both"/>
        <w:rPr>
          <w:rFonts w:ascii="Arial" w:eastAsia="Arial" w:hAnsi="Arial" w:cs="Arial"/>
          <w:b/>
          <w:lang w:val="pl-PL"/>
        </w:rPr>
      </w:pPr>
      <w:r w:rsidRPr="009E4DC1">
        <w:rPr>
          <w:rFonts w:ascii="Arial" w:eastAsia="Arial" w:hAnsi="Arial" w:cs="Arial"/>
          <w:b/>
          <w:lang w:val="pl-PL"/>
        </w:rPr>
        <w:t>Większość ludzi ufa naukowcom i zgadza się, że powinni oni mieć znaczący wpływ na życie społeczeństwa i decyzje polityczne – wynika z badania przeprowadzonego w 68 krajach przez międzynarodową grupę badaczy. Wzięli w nim udział także naukowcy z Uniwersytet</w:t>
      </w:r>
      <w:r w:rsidRPr="009E4DC1">
        <w:rPr>
          <w:rFonts w:ascii="Arial" w:eastAsia="Arial" w:hAnsi="Arial" w:cs="Arial"/>
          <w:b/>
          <w:lang w:val="pl-PL"/>
        </w:rPr>
        <w:t>u SWPS.</w:t>
      </w:r>
    </w:p>
    <w:p w14:paraId="7B9B8772" w14:textId="77777777" w:rsidR="004848A4" w:rsidRPr="009E4DC1" w:rsidRDefault="004848A4">
      <w:pPr>
        <w:jc w:val="both"/>
        <w:rPr>
          <w:rFonts w:ascii="Arial" w:eastAsia="Arial" w:hAnsi="Arial" w:cs="Arial"/>
          <w:b/>
          <w:lang w:val="pl-PL"/>
        </w:rPr>
      </w:pPr>
    </w:p>
    <w:p w14:paraId="18A823B1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Publiczne zaufanie do naukowców przynosi społeczeństwu wiele korzyści. Pomaga w podejmowaniu świadomych decyzji w oparciu o sprawdzone informacje, jest podstawą dla kształtowania polityki opartej na dowodach i sprzyja wydatkowaniu rządowych środkó</w:t>
      </w:r>
      <w:r w:rsidRPr="009E4DC1">
        <w:rPr>
          <w:sz w:val="20"/>
          <w:szCs w:val="20"/>
          <w:lang w:val="pl-PL"/>
        </w:rPr>
        <w:t xml:space="preserve">w na badania. </w:t>
      </w:r>
    </w:p>
    <w:p w14:paraId="056DF9C6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713C472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Zaufanie do nauki może wspomagać decydentów w działaniach, szczególnie w czasie globalnych kryzysów, jak pandemia COVID-19 czy zmiany klimatyczne. Społeczeństwa o wysokim poziomie zaufania do nauki i naukowców radziły sobie z pandemią bardz</w:t>
      </w:r>
      <w:r w:rsidRPr="009E4DC1">
        <w:rPr>
          <w:sz w:val="20"/>
          <w:szCs w:val="20"/>
          <w:lang w:val="pl-PL"/>
        </w:rPr>
        <w:t>iej efektywnie z uwagi na to, że obywatele byli bardziej skłonni do przestrzegania pozamedycznych wytycznych i mieli większe zaufanie do szczepień</w:t>
      </w:r>
      <w:r>
        <w:rPr>
          <w:sz w:val="20"/>
          <w:szCs w:val="20"/>
          <w:vertAlign w:val="superscript"/>
        </w:rPr>
        <w:footnoteReference w:id="1"/>
      </w:r>
      <w:r w:rsidRPr="009E4DC1">
        <w:rPr>
          <w:sz w:val="20"/>
          <w:szCs w:val="20"/>
          <w:lang w:val="pl-PL"/>
        </w:rPr>
        <w:t>. Osoby darzące naukowców zaufaniem częściej angażują się też w działania na rzecz ochrony klimatu</w:t>
      </w:r>
      <w:r>
        <w:rPr>
          <w:sz w:val="20"/>
          <w:szCs w:val="20"/>
          <w:vertAlign w:val="superscript"/>
        </w:rPr>
        <w:footnoteReference w:id="2"/>
      </w:r>
      <w:r w:rsidRPr="009E4DC1">
        <w:rPr>
          <w:sz w:val="20"/>
          <w:szCs w:val="20"/>
          <w:lang w:val="pl-PL"/>
        </w:rPr>
        <w:t xml:space="preserve">. </w:t>
      </w:r>
    </w:p>
    <w:p w14:paraId="7C6426FF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938FFD2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Doty</w:t>
      </w:r>
      <w:r w:rsidRPr="009E4DC1">
        <w:rPr>
          <w:sz w:val="20"/>
          <w:szCs w:val="20"/>
          <w:lang w:val="pl-PL"/>
        </w:rPr>
        <w:t>chczasowe badania dowodzą, że ludzie w większości ufają nauce</w:t>
      </w:r>
      <w:r>
        <w:rPr>
          <w:sz w:val="20"/>
          <w:szCs w:val="20"/>
          <w:vertAlign w:val="superscript"/>
        </w:rPr>
        <w:footnoteReference w:id="3"/>
      </w:r>
      <w:r w:rsidRPr="009E4DC1">
        <w:rPr>
          <w:sz w:val="20"/>
          <w:szCs w:val="20"/>
          <w:lang w:val="pl-PL"/>
        </w:rPr>
        <w:t>, a naukowcy znajdują się wśród najbardziej wiarygodnych osób w społeczeństwie. Mimo to w ostatnich latach mówi się o kryzysie zaufania do naukowców, dlatego międzynarodowa grupa badaczy postan</w:t>
      </w:r>
      <w:r w:rsidRPr="009E4DC1">
        <w:rPr>
          <w:sz w:val="20"/>
          <w:szCs w:val="20"/>
          <w:lang w:val="pl-PL"/>
        </w:rPr>
        <w:t xml:space="preserve">owiła sprawdzić, jak opinia publiczna rzeczywiście odbiera dokonania naukowe. </w:t>
      </w:r>
    </w:p>
    <w:p w14:paraId="0ABAE672" w14:textId="77777777" w:rsidR="004848A4" w:rsidRPr="009E4DC1" w:rsidRDefault="004848A4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3F275E02" w14:textId="77777777" w:rsidR="004848A4" w:rsidRPr="009E4DC1" w:rsidRDefault="00875ADB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9E4DC1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lastRenderedPageBreak/>
        <w:t>Poziom zaufania jest wysoki</w:t>
      </w:r>
    </w:p>
    <w:p w14:paraId="644E4E36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W badaniu wzięło udział prawie 72 tys. respondentów reprezentatywnych dla każdego z 68 krajów. Badacze pytali ich, do jakiego stopnia naukowcy powin</w:t>
      </w:r>
      <w:r w:rsidRPr="009E4DC1">
        <w:rPr>
          <w:sz w:val="20"/>
          <w:szCs w:val="20"/>
          <w:lang w:val="pl-PL"/>
        </w:rPr>
        <w:t xml:space="preserve">ni angażować się w życie społeczeństwa i podejmowanie decyzji politycznych. Sprawdzali też, jakie kwestie według badanych powinny stanowić dla naukowców priorytet i jak wiąże się to z ich zaufaniem do nauki. </w:t>
      </w:r>
    </w:p>
    <w:p w14:paraId="2B1B6581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511D151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Badanie, które opisano w artykule „</w:t>
      </w:r>
      <w:hyperlink r:id="rId7">
        <w:r w:rsidRPr="009E4DC1">
          <w:rPr>
            <w:color w:val="1155CC"/>
            <w:sz w:val="20"/>
            <w:szCs w:val="20"/>
            <w:u w:val="single"/>
            <w:lang w:val="pl-PL"/>
          </w:rPr>
          <w:t>Trust in scientists and their role in society across 68 countries</w:t>
        </w:r>
      </w:hyperlink>
      <w:r w:rsidRPr="009E4DC1">
        <w:rPr>
          <w:sz w:val="20"/>
          <w:szCs w:val="20"/>
          <w:lang w:val="pl-PL"/>
        </w:rPr>
        <w:t>” na łamach „</w:t>
      </w:r>
      <w:r w:rsidRPr="009E4DC1">
        <w:rPr>
          <w:i/>
          <w:sz w:val="20"/>
          <w:szCs w:val="20"/>
          <w:lang w:val="pl-PL"/>
        </w:rPr>
        <w:t>Nature Human Behaviour</w:t>
      </w:r>
      <w:r w:rsidRPr="009E4DC1">
        <w:rPr>
          <w:sz w:val="20"/>
          <w:szCs w:val="20"/>
          <w:lang w:val="pl-PL"/>
        </w:rPr>
        <w:t>”, przeprowadzono z użyciem wielowymiarowego indeksu zaufania. Średni wynik wśród wszystkich kraj</w:t>
      </w:r>
      <w:r w:rsidRPr="009E4DC1">
        <w:rPr>
          <w:sz w:val="20"/>
          <w:szCs w:val="20"/>
          <w:lang w:val="pl-PL"/>
        </w:rPr>
        <w:t xml:space="preserve">ów jest dość wysoki: wynosi 3,62 w pięciostopniowej skali (1 – bardzo niski poziom, 5 – bardzo wysoki poziom). Obywatele żadnego z krajów nie deklarowali niskiego zaufania do nauki. </w:t>
      </w:r>
    </w:p>
    <w:p w14:paraId="2797E6E5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981AA33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75 proc. osób zgadza się, że naukowe metody badawcze są najlepszą metodą</w:t>
      </w:r>
      <w:r w:rsidRPr="009E4DC1">
        <w:rPr>
          <w:sz w:val="20"/>
          <w:szCs w:val="20"/>
          <w:lang w:val="pl-PL"/>
        </w:rPr>
        <w:t xml:space="preserve"> sprawdzenia, czy jakieś założenie jest prawdziwe czy fałszywe. Co ważne, poziom zaufania do metod naukowych jest skorelowany z zaufaniem do naukowców. Postrzeganie otwartości uczonych na informacje zwrotne kształtuje się na niższym poziomie (średnia 3,33)</w:t>
      </w:r>
      <w:r w:rsidRPr="009E4DC1">
        <w:rPr>
          <w:sz w:val="20"/>
          <w:szCs w:val="20"/>
          <w:lang w:val="pl-PL"/>
        </w:rPr>
        <w:t xml:space="preserve">, choć wciąż 42 proc. badanych uważa, że naukowcy zwracają uwagę na opinie innych w pewnym lub dużym stopniu. </w:t>
      </w:r>
    </w:p>
    <w:p w14:paraId="4E6B132F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CCBD5CD" w14:textId="034EDEAE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– Kryzys replikacyjny w nauce nie zachwiał wiarą ludzi w sprawczość naukowców. Na całym świecie ludzie odbierają naukowców jako osoby o wysokich</w:t>
      </w:r>
      <w:r w:rsidRPr="009E4DC1">
        <w:rPr>
          <w:sz w:val="20"/>
          <w:szCs w:val="20"/>
          <w:lang w:val="pl-PL"/>
        </w:rPr>
        <w:t xml:space="preserve"> kompetencjach (średnio 4,02 na skali 1-5) i zdecydowana większość badanych wierzy, że uczeni są odpowiednio wykwalifikowani do przeprowadzania badań kluczowych dla rozwiązywania wyzwań społecznych (np. związanych z</w:t>
      </w:r>
      <w:r w:rsidR="009E4DC1" w:rsidRPr="009E4DC1">
        <w:rPr>
          <w:sz w:val="20"/>
          <w:szCs w:val="20"/>
          <w:lang w:val="pl-PL"/>
        </w:rPr>
        <w:t>e</w:t>
      </w:r>
      <w:r w:rsidRPr="009E4DC1">
        <w:rPr>
          <w:sz w:val="20"/>
          <w:szCs w:val="20"/>
          <w:lang w:val="pl-PL"/>
        </w:rPr>
        <w:t xml:space="preserve"> zwalczaniem biedy, ochroną zdrowia czy k</w:t>
      </w:r>
      <w:r w:rsidRPr="009E4DC1">
        <w:rPr>
          <w:sz w:val="20"/>
          <w:szCs w:val="20"/>
          <w:lang w:val="pl-PL"/>
        </w:rPr>
        <w:t>ryzysami energetycznymi). Większość badanych postrzega naukowców jako uczciwych i przejmujących się ludzkim dobrostanem – podkreśla jeden z autorów badania, psycholog dr hab. Michał Parzuchowski, prof. Uniwersytetu SWPS, kierownik Centrum Badań nad Poznani</w:t>
      </w:r>
      <w:r w:rsidRPr="009E4DC1">
        <w:rPr>
          <w:sz w:val="20"/>
          <w:szCs w:val="20"/>
          <w:lang w:val="pl-PL"/>
        </w:rPr>
        <w:t>em i Zachowaniem z Wydziału Psychologii w Sopocie USWPS. Współautorką badania jest również psycholożka dr Olga Białobrzeska z Wydziału Psychologii w Warszawie USWPS.</w:t>
      </w:r>
    </w:p>
    <w:p w14:paraId="32D6109C" w14:textId="77777777" w:rsidR="004848A4" w:rsidRPr="009E4DC1" w:rsidRDefault="004848A4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59480351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AB421AD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B7CCF3A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E26B4B1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DEED539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Najbardziej ufają naukowcom w Egipcie, najmniej – w Albanii</w:t>
      </w:r>
    </w:p>
    <w:p w14:paraId="2E76CD57" w14:textId="5332C042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 xml:space="preserve">Podczas gdy poziom zaufania do nauki jest generalnie wysoki, występują widoczne różnice między poszczególnymi państwami. W przeciwieństwie do innych badań nie znaleziono jednak wyraźnych wskazań, </w:t>
      </w:r>
      <w:r w:rsidRPr="009E4DC1">
        <w:rPr>
          <w:sz w:val="20"/>
          <w:szCs w:val="20"/>
          <w:lang w:val="pl-PL"/>
        </w:rPr>
        <w:t>świadczących o tym, że naukowcom mniej ufa się w Ameryce Łacińskiej czy Afryce. Pojawiły się jednak prawidłowości w obrębie regionów. Na przykład Rosja, a także kraje dawnych republik radzieckich oraz państwa sąsiadujące mają relatywnie niski poziom zaufan</w:t>
      </w:r>
      <w:r w:rsidRPr="009E4DC1">
        <w:rPr>
          <w:sz w:val="20"/>
          <w:szCs w:val="20"/>
          <w:lang w:val="pl-PL"/>
        </w:rPr>
        <w:t xml:space="preserve">ia. Wyniki analiz można szczegółowo porównywać między poszczególnymi krajami za pomocą interaktywnej aplikacji pod adresem </w:t>
      </w:r>
      <w:hyperlink r:id="rId8">
        <w:r w:rsidR="009E4DC1">
          <w:rPr>
            <w:color w:val="1155CC"/>
            <w:sz w:val="20"/>
            <w:szCs w:val="20"/>
            <w:u w:val="single"/>
            <w:lang w:val="pl-PL"/>
          </w:rPr>
          <w:t>www</w:t>
        </w:r>
        <w:r w:rsidR="009E4DC1">
          <w:rPr>
            <w:color w:val="1155CC"/>
            <w:sz w:val="20"/>
            <w:szCs w:val="20"/>
            <w:u w:val="single"/>
            <w:lang w:val="pl-PL"/>
          </w:rPr>
          <w:t>.</w:t>
        </w:r>
        <w:r w:rsidR="009E4DC1">
          <w:rPr>
            <w:color w:val="1155CC"/>
            <w:sz w:val="20"/>
            <w:szCs w:val="20"/>
            <w:u w:val="single"/>
            <w:lang w:val="pl-PL"/>
          </w:rPr>
          <w:t>tisp-manylabs.com</w:t>
        </w:r>
      </w:hyperlink>
      <w:r w:rsidRPr="009E4DC1">
        <w:rPr>
          <w:sz w:val="20"/>
          <w:szCs w:val="20"/>
          <w:lang w:val="pl-PL"/>
        </w:rPr>
        <w:t>.</w:t>
      </w:r>
    </w:p>
    <w:p w14:paraId="1EB05015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CFD086C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Najwyższy poziom zaufania do nauki zaobserwowano w Egipcie (4,30), a zaraz po nim znalazły się Indie (4,26). W pierwszej piątce uplasowały się też Nigeria (3,98), Kenia (3,95) i Australia (3,91). Pierwszą dziesiątkę dopełniły: Bangladesz, Hiszpania, Turcja</w:t>
      </w:r>
      <w:r w:rsidRPr="009E4DC1">
        <w:rPr>
          <w:sz w:val="20"/>
          <w:szCs w:val="20"/>
          <w:lang w:val="pl-PL"/>
        </w:rPr>
        <w:t xml:space="preserve">, Nowa Zelandia i Argentyna. Polska znalazła się w drugiej połowie listy z równie wysokim wynikiem 3,51. Najniższe miejsca należą do Etiopii (3,23), Rosji (3,23), Boliwii (3,22), Kazachstanu (3,13), a zamyka ją Albania z wynikiem 3,05. </w:t>
      </w:r>
    </w:p>
    <w:p w14:paraId="42390C6C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19E685F" w14:textId="77777777" w:rsidR="004848A4" w:rsidRPr="009E4DC1" w:rsidRDefault="00875AD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Okazuje się, że na</w:t>
      </w:r>
      <w:r w:rsidRPr="009E4DC1">
        <w:rPr>
          <w:sz w:val="20"/>
          <w:szCs w:val="20"/>
          <w:lang w:val="pl-PL"/>
        </w:rPr>
        <w:t xml:space="preserve">jwiększe zaufanie do środowiska naukowego mają kobiety, osoby starsze i bardziej wykształcone. Uczestnicy badania w większości uważają, że naukowcy powinni skupiać się na badaniach nad zdrowiem publicznym i energetyką, mniej uwagi poświęcając obronności i </w:t>
      </w:r>
      <w:r w:rsidRPr="009E4DC1">
        <w:rPr>
          <w:sz w:val="20"/>
          <w:szCs w:val="20"/>
          <w:lang w:val="pl-PL"/>
        </w:rPr>
        <w:t xml:space="preserve">technologiom militarnym. </w:t>
      </w:r>
    </w:p>
    <w:p w14:paraId="5516D5E2" w14:textId="77777777" w:rsidR="004848A4" w:rsidRPr="009E4DC1" w:rsidRDefault="004848A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81822FB" w14:textId="77777777" w:rsidR="004848A4" w:rsidRPr="009E4DC1" w:rsidRDefault="00875ADB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– Nie należy lekceważyć opinii nawet niewielkich grup, których nieufność może wpływać na kształtowanie polityki, a także na indywidualne wybory jednostek. Przyszłe badania będą szukać źródeł i konsekwencji takich antynaukowych po</w:t>
      </w:r>
      <w:r w:rsidRPr="009E4DC1">
        <w:rPr>
          <w:sz w:val="20"/>
          <w:szCs w:val="20"/>
          <w:lang w:val="pl-PL"/>
        </w:rPr>
        <w:t>staw wśród osób deklarujących skrajny brak zaufania wobec nauki i wyników badań naukowych  – konkluduje prof. Parzuchowski.</w:t>
      </w:r>
    </w:p>
    <w:p w14:paraId="0102D5E6" w14:textId="77777777" w:rsidR="004848A4" w:rsidRPr="009E4DC1" w:rsidRDefault="004848A4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64D47C72" w14:textId="77777777" w:rsidR="004848A4" w:rsidRPr="009E4DC1" w:rsidRDefault="00875ADB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9E4DC1">
        <w:rPr>
          <w:rFonts w:ascii="Arial" w:eastAsia="Arial" w:hAnsi="Arial" w:cs="Arial"/>
          <w:b/>
          <w:lang w:val="pl-PL"/>
        </w:rPr>
        <w:t>****</w:t>
      </w:r>
    </w:p>
    <w:p w14:paraId="46B6FB7B" w14:textId="77777777" w:rsidR="004848A4" w:rsidRPr="009E4DC1" w:rsidRDefault="004848A4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74DA695C" w14:textId="77777777" w:rsidR="004848A4" w:rsidRPr="009E4DC1" w:rsidRDefault="00875ADB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9E4DC1">
        <w:rPr>
          <w:b/>
          <w:sz w:val="20"/>
          <w:szCs w:val="20"/>
          <w:lang w:val="pl-PL"/>
        </w:rPr>
        <w:t xml:space="preserve">Uniwersytet SWPS </w:t>
      </w:r>
      <w:r w:rsidRPr="009E4DC1">
        <w:rPr>
          <w:sz w:val="20"/>
          <w:szCs w:val="20"/>
          <w:lang w:val="pl-PL"/>
        </w:rPr>
        <w:t xml:space="preserve">to nowoczesna uczelnia oparta na trwałych wartościach. Silną pozycję zawdzięcza połączeniu wysokiej jakości </w:t>
      </w:r>
      <w:r w:rsidRPr="009E4DC1">
        <w:rPr>
          <w:sz w:val="20"/>
          <w:szCs w:val="20"/>
          <w:lang w:val="pl-PL"/>
        </w:rPr>
        <w:t>dydaktyki z badaniami naukowymi prowadzonymi na najwyższym poziomie. Uczelnia kształci blisko 17 tysięcy studentek i studentów – w tym ponad tysiąc z zagranicy oraz ponad 4 tys. słuchaczek i słuchaczy studiów podyplomowych na blisko 50 kierunkach studiów s</w:t>
      </w:r>
      <w:r w:rsidRPr="009E4DC1">
        <w:rPr>
          <w:sz w:val="20"/>
          <w:szCs w:val="20"/>
          <w:lang w:val="pl-PL"/>
        </w:rPr>
        <w:t>tacjonarnych i niestacjonarnych i ok. 200 kierunkach studiów podyplomowych. Uniwersytet oferuje programy studiów z psychologii, prawa, zarządzania, dziennikarstwa, filologii, kulturoznawstwa, nowych technologii oraz grafiki i wzornictwa, a także edukację w</w:t>
      </w:r>
      <w:r w:rsidRPr="009E4DC1">
        <w:rPr>
          <w:sz w:val="20"/>
          <w:szCs w:val="20"/>
          <w:lang w:val="pl-PL"/>
        </w:rPr>
        <w:t xml:space="preserve"> postaci szkoleń i krótkich kursów akademickich. Uczelnia dba o wysoką wartość akademicką naszych programów oraz ich dostosowanie do wymagań zmieniającego się rynku pracy. Kampusy Uniwersytetu SWPS znajdują się w sześciu miastach: Warszawie (siedziba), Wro</w:t>
      </w:r>
      <w:r w:rsidRPr="009E4DC1">
        <w:rPr>
          <w:sz w:val="20"/>
          <w:szCs w:val="20"/>
          <w:lang w:val="pl-PL"/>
        </w:rPr>
        <w:t>cławiu, Sopocie, Poznaniu, Katowicach i w Krakowie.</w:t>
      </w:r>
    </w:p>
    <w:p w14:paraId="7A08D9CA" w14:textId="77777777" w:rsidR="004848A4" w:rsidRPr="009E4DC1" w:rsidRDefault="00875ADB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9E4DC1">
        <w:rPr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</w:t>
      </w:r>
      <w:r w:rsidRPr="009E4DC1">
        <w:rPr>
          <w:sz w:val="20"/>
          <w:szCs w:val="20"/>
          <w:lang w:val="pl-PL"/>
        </w:rPr>
        <w:t>, nauki o polityce i administracji, sztuki plastyczne i konserwacja dzieł sztuki. Na Uniwersytecie SWPS funkcjonuje pięć instytutów naukowych, które zajmują się organizacją i koordynacją działalności naukowej pracowników badawczych i badawczo-dydaktycznych</w:t>
      </w:r>
      <w:r w:rsidRPr="009E4DC1">
        <w:rPr>
          <w:sz w:val="20"/>
          <w:szCs w:val="20"/>
          <w:lang w:val="pl-PL"/>
        </w:rPr>
        <w:t xml:space="preserve">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409825D3" w14:textId="77777777" w:rsidR="004848A4" w:rsidRPr="009E4DC1" w:rsidRDefault="00875ADB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9E4DC1">
        <w:rPr>
          <w:sz w:val="20"/>
          <w:szCs w:val="20"/>
          <w:lang w:val="pl-PL"/>
        </w:rPr>
        <w:t>Uniwersytet SWPS</w:t>
      </w:r>
      <w:r w:rsidRPr="009E4DC1">
        <w:rPr>
          <w:sz w:val="20"/>
          <w:szCs w:val="20"/>
          <w:lang w:val="pl-PL"/>
        </w:rPr>
        <w:t xml:space="preserve"> należy do sojuszu European Reform University Alliance (ERUA). Jest to sojusz uczelni zawarty w ramach Inicjatywy Uniwersytetów Europejskich, powołanej i finansowanej przez Komisję Europejską. </w:t>
      </w:r>
    </w:p>
    <w:p w14:paraId="27EFEAD8" w14:textId="77777777" w:rsidR="004848A4" w:rsidRPr="009E4DC1" w:rsidRDefault="004848A4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</w:p>
    <w:sectPr w:rsidR="004848A4" w:rsidRPr="009E4DC1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DBA3" w14:textId="77777777" w:rsidR="00875ADB" w:rsidRDefault="00875ADB">
      <w:r>
        <w:separator/>
      </w:r>
    </w:p>
  </w:endnote>
  <w:endnote w:type="continuationSeparator" w:id="0">
    <w:p w14:paraId="7E05D54D" w14:textId="77777777" w:rsidR="00875ADB" w:rsidRDefault="0087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384B" w14:textId="77777777" w:rsidR="004848A4" w:rsidRDefault="00875A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46019084" wp14:editId="4511E85A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10291" w14:textId="77777777" w:rsidR="004848A4" w:rsidRDefault="00875ADB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14:paraId="583C48E5" w14:textId="77777777" w:rsidR="004848A4" w:rsidRDefault="00875ADB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5B0B9AB6" wp14:editId="673B2609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0A0B6" w14:textId="77777777" w:rsidR="004848A4" w:rsidRDefault="00875ADB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97BE4" w14:textId="77777777" w:rsidR="00875ADB" w:rsidRDefault="00875ADB">
      <w:r>
        <w:separator/>
      </w:r>
    </w:p>
  </w:footnote>
  <w:footnote w:type="continuationSeparator" w:id="0">
    <w:p w14:paraId="46270AF4" w14:textId="77777777" w:rsidR="00875ADB" w:rsidRDefault="00875ADB">
      <w:r>
        <w:continuationSeparator/>
      </w:r>
    </w:p>
  </w:footnote>
  <w:footnote w:id="1">
    <w:p w14:paraId="1FF961F0" w14:textId="77777777" w:rsidR="004848A4" w:rsidRDefault="00875ADB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 Sturgis, P., Brunton-Smith, I. &amp; Jackson, J. Trust in science, social consensus and vaccine confidence. Nat. Hum. Behav. 5, 1528– 1534 (2021).</w:t>
      </w:r>
    </w:p>
  </w:footnote>
  <w:footnote w:id="2">
    <w:p w14:paraId="3D2EF3BA" w14:textId="77777777" w:rsidR="004848A4" w:rsidRDefault="00875ADB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Cologna, V. &amp; Siegrist, M. The role of trust for climate change mitigation and adaptation behaviour: a meta-a</w:t>
      </w:r>
      <w:r>
        <w:rPr>
          <w:sz w:val="16"/>
          <w:szCs w:val="16"/>
        </w:rPr>
        <w:t>nalysis. J. Environ. Psychol. 69, 101428 (2020).</w:t>
      </w:r>
    </w:p>
  </w:footnote>
  <w:footnote w:id="3">
    <w:p w14:paraId="4D49019C" w14:textId="77777777" w:rsidR="004848A4" w:rsidRDefault="00875ADB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>IPSOS Global Trustworthiness Monitor: Stability in an Unstable World (IPSOS, 2022).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87C1" w14:textId="77777777" w:rsidR="004848A4" w:rsidRDefault="00875A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5211E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4446" w14:textId="77777777" w:rsidR="004848A4" w:rsidRDefault="00875A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2290EEE9" wp14:editId="2D2A2CB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41FF" w14:textId="77777777" w:rsidR="004848A4" w:rsidRDefault="00875A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632F13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8A4"/>
    <w:rsid w:val="004848A4"/>
    <w:rsid w:val="00875ADB"/>
    <w:rsid w:val="009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3481172"/>
  <w15:docId w15:val="{3F410552-BB89-483F-97C3-95C3CBE9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sp-manylabs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ture.com/articles/s41562-024-02090-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BX9EoBknRS+et8Llmub+RUDZWw==">CgMxLjA4AHIhMWV4UnJxakFULW9zdjU5cTZYNVcxZnR5c2RpVXRNOXNx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1043</Words>
  <Characters>6259</Characters>
  <Application>Microsoft Office Word</Application>
  <DocSecurity>0</DocSecurity>
  <Lines>52</Lines>
  <Paragraphs>14</Paragraphs>
  <ScaleCrop>false</ScaleCrop>
  <Company>Uniwersytet SWPS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2025-04-03T09:42:00Z</dcterms:created>
  <dcterms:modified xsi:type="dcterms:W3CDTF">2025-04-03T09:45:00Z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