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8CC" w:rsidRPr="005579FA" w:rsidRDefault="002028CC" w:rsidP="002028CC">
      <w:pPr>
        <w:jc w:val="both"/>
        <w:rPr>
          <w:rFonts w:ascii="Times New Roman" w:hAnsi="Times New Roman"/>
          <w:sz w:val="24"/>
          <w:szCs w:val="24"/>
        </w:rPr>
      </w:pPr>
      <w:r w:rsidRPr="002028CC">
        <w:rPr>
          <w:rFonts w:ascii="Times New Roman" w:hAnsi="Times New Roman"/>
          <w:b/>
          <w:sz w:val="24"/>
          <w:szCs w:val="24"/>
        </w:rPr>
        <w:t>Autor:</w:t>
      </w:r>
      <w:r>
        <w:rPr>
          <w:rFonts w:ascii="Times New Roman" w:hAnsi="Times New Roman"/>
          <w:sz w:val="24"/>
          <w:szCs w:val="24"/>
        </w:rPr>
        <w:t xml:space="preserve"> Wioleta Beczek</w:t>
      </w:r>
    </w:p>
    <w:p w:rsidR="002028CC" w:rsidRPr="002028CC" w:rsidRDefault="002028CC" w:rsidP="002028CC">
      <w:pPr>
        <w:jc w:val="both"/>
        <w:rPr>
          <w:rFonts w:ascii="Times New Roman" w:hAnsi="Times New Roman"/>
          <w:sz w:val="24"/>
          <w:szCs w:val="24"/>
        </w:rPr>
      </w:pPr>
      <w:r w:rsidRPr="002028CC">
        <w:rPr>
          <w:rFonts w:ascii="Times New Roman" w:hAnsi="Times New Roman"/>
          <w:b/>
          <w:sz w:val="24"/>
          <w:szCs w:val="24"/>
        </w:rPr>
        <w:t>Tytuł:</w:t>
      </w:r>
      <w:r w:rsidRPr="002028CC">
        <w:rPr>
          <w:rFonts w:ascii="Times New Roman" w:hAnsi="Times New Roman"/>
          <w:sz w:val="24"/>
          <w:szCs w:val="24"/>
        </w:rPr>
        <w:t xml:space="preserve"> Niejawność postępowania cywilnego rozpoznawczego</w:t>
      </w:r>
    </w:p>
    <w:p w:rsidR="002028CC" w:rsidRPr="005579FA" w:rsidRDefault="002028CC" w:rsidP="002028CC">
      <w:pPr>
        <w:jc w:val="both"/>
        <w:rPr>
          <w:rFonts w:ascii="Times New Roman" w:hAnsi="Times New Roman"/>
          <w:sz w:val="24"/>
          <w:szCs w:val="24"/>
        </w:rPr>
      </w:pPr>
      <w:r>
        <w:rPr>
          <w:rFonts w:ascii="Times New Roman" w:hAnsi="Times New Roman"/>
          <w:b/>
          <w:sz w:val="24"/>
          <w:szCs w:val="24"/>
        </w:rPr>
        <w:t>Promotor</w:t>
      </w:r>
      <w:r w:rsidRPr="002028CC">
        <w:rPr>
          <w:rFonts w:ascii="Times New Roman" w:hAnsi="Times New Roman"/>
          <w:b/>
          <w:sz w:val="24"/>
          <w:szCs w:val="24"/>
        </w:rPr>
        <w:t>:</w:t>
      </w:r>
      <w:r w:rsidRPr="005579FA">
        <w:rPr>
          <w:rFonts w:ascii="Times New Roman" w:hAnsi="Times New Roman"/>
          <w:sz w:val="24"/>
          <w:szCs w:val="24"/>
        </w:rPr>
        <w:t xml:space="preserve"> </w:t>
      </w:r>
      <w:bookmarkStart w:id="0" w:name="_Hlk42970022"/>
      <w:r>
        <w:rPr>
          <w:rFonts w:ascii="Times New Roman" w:hAnsi="Times New Roman"/>
          <w:sz w:val="24"/>
          <w:szCs w:val="24"/>
        </w:rPr>
        <w:t>prof. dr hab. Agnieszka Góra-Błaszczykowska</w:t>
      </w:r>
    </w:p>
    <w:bookmarkEnd w:id="0"/>
    <w:p w:rsidR="002028CC" w:rsidRDefault="002028CC" w:rsidP="002028CC">
      <w:pPr>
        <w:jc w:val="center"/>
        <w:rPr>
          <w:rFonts w:ascii="Times New Roman" w:hAnsi="Times New Roman"/>
          <w:b/>
          <w:sz w:val="24"/>
          <w:szCs w:val="24"/>
        </w:rPr>
      </w:pPr>
    </w:p>
    <w:p w:rsidR="002028CC" w:rsidRPr="002028CC" w:rsidRDefault="002028CC" w:rsidP="002028CC">
      <w:pPr>
        <w:jc w:val="center"/>
        <w:rPr>
          <w:rFonts w:ascii="Times New Roman" w:hAnsi="Times New Roman"/>
          <w:b/>
          <w:sz w:val="24"/>
          <w:szCs w:val="24"/>
        </w:rPr>
      </w:pPr>
      <w:r w:rsidRPr="002028CC">
        <w:rPr>
          <w:rFonts w:ascii="Times New Roman" w:hAnsi="Times New Roman"/>
          <w:b/>
          <w:sz w:val="24"/>
          <w:szCs w:val="24"/>
        </w:rPr>
        <w:t>Streszczenie</w:t>
      </w:r>
    </w:p>
    <w:p w:rsidR="002028CC" w:rsidRDefault="002028CC" w:rsidP="002028CC">
      <w:pPr>
        <w:spacing w:line="360" w:lineRule="auto"/>
        <w:ind w:firstLine="709"/>
        <w:jc w:val="both"/>
        <w:rPr>
          <w:rFonts w:ascii="Times New Roman" w:hAnsi="Times New Roman"/>
          <w:sz w:val="24"/>
          <w:szCs w:val="24"/>
        </w:rPr>
      </w:pPr>
    </w:p>
    <w:p w:rsidR="002028CC" w:rsidRDefault="002028CC" w:rsidP="002028CC">
      <w:pPr>
        <w:spacing w:after="120" w:line="360" w:lineRule="auto"/>
        <w:ind w:firstLine="709"/>
        <w:jc w:val="both"/>
        <w:rPr>
          <w:rFonts w:ascii="Times New Roman" w:hAnsi="Times New Roman"/>
          <w:sz w:val="24"/>
          <w:szCs w:val="24"/>
        </w:rPr>
      </w:pPr>
      <w:r>
        <w:rPr>
          <w:rFonts w:ascii="Times New Roman" w:hAnsi="Times New Roman"/>
          <w:sz w:val="24"/>
          <w:szCs w:val="24"/>
        </w:rPr>
        <w:t>R</w:t>
      </w:r>
      <w:r w:rsidRPr="00CE0DEC">
        <w:rPr>
          <w:rFonts w:ascii="Times New Roman" w:hAnsi="Times New Roman"/>
          <w:sz w:val="24"/>
          <w:szCs w:val="24"/>
        </w:rPr>
        <w:t xml:space="preserve">ozprawa </w:t>
      </w:r>
      <w:r w:rsidR="009C39F2">
        <w:rPr>
          <w:rFonts w:ascii="Times New Roman" w:hAnsi="Times New Roman"/>
          <w:sz w:val="24"/>
          <w:szCs w:val="24"/>
        </w:rPr>
        <w:t xml:space="preserve">doktorska </w:t>
      </w:r>
      <w:r w:rsidRPr="00CE0DEC">
        <w:rPr>
          <w:rFonts w:ascii="Times New Roman" w:hAnsi="Times New Roman"/>
          <w:sz w:val="24"/>
          <w:szCs w:val="24"/>
        </w:rPr>
        <w:t xml:space="preserve">poświęcona jest </w:t>
      </w:r>
      <w:r>
        <w:rPr>
          <w:rFonts w:ascii="Times New Roman" w:hAnsi="Times New Roman"/>
          <w:sz w:val="24"/>
          <w:szCs w:val="24"/>
        </w:rPr>
        <w:t xml:space="preserve">tematyce </w:t>
      </w:r>
      <w:r w:rsidRPr="00CE0DEC">
        <w:rPr>
          <w:rFonts w:ascii="Times New Roman" w:hAnsi="Times New Roman"/>
          <w:sz w:val="24"/>
          <w:szCs w:val="24"/>
        </w:rPr>
        <w:t>niejawności postępowania cywilnego rozpoznawczego.</w:t>
      </w:r>
      <w:r>
        <w:rPr>
          <w:rFonts w:ascii="Times New Roman" w:hAnsi="Times New Roman"/>
          <w:sz w:val="24"/>
          <w:szCs w:val="24"/>
        </w:rPr>
        <w:t xml:space="preserve"> </w:t>
      </w:r>
      <w:r w:rsidRPr="00CE0DEC">
        <w:rPr>
          <w:rFonts w:ascii="Times New Roman" w:hAnsi="Times New Roman"/>
          <w:sz w:val="24"/>
          <w:szCs w:val="24"/>
        </w:rPr>
        <w:t xml:space="preserve">Analizie poddano aspekty wpływające na coraz częstsze występowanie niejawności w procesie cywilnym, starano się podać także ich przyczynę. Ponadto opracowanie wskazuje, jak często jawność jest ograniczana bądź wyłączana, jakie są tego cele oraz przyczyny, a także wady i zalety. </w:t>
      </w:r>
    </w:p>
    <w:p w:rsidR="002028CC" w:rsidRPr="00CE0DEC" w:rsidRDefault="002028CC" w:rsidP="002028CC">
      <w:pPr>
        <w:spacing w:after="120" w:line="360" w:lineRule="auto"/>
        <w:ind w:firstLine="709"/>
        <w:jc w:val="both"/>
        <w:rPr>
          <w:rFonts w:ascii="Times New Roman" w:hAnsi="Times New Roman"/>
          <w:sz w:val="24"/>
          <w:szCs w:val="24"/>
        </w:rPr>
      </w:pPr>
      <w:r w:rsidRPr="00CE0DEC">
        <w:rPr>
          <w:rFonts w:ascii="Times New Roman" w:hAnsi="Times New Roman"/>
          <w:sz w:val="24"/>
          <w:szCs w:val="24"/>
        </w:rPr>
        <w:t>Jawność nie występuje w żadnym z systemów prawnych w czystej postaci, bardzo często ograniczany jest jej aspekt zewnętrzny, a także – choć może w mniejszym stopniu – jej aspekt wewnętrzny. Jawność zewnętrzna nie mo</w:t>
      </w:r>
      <w:r>
        <w:rPr>
          <w:rFonts w:ascii="Times New Roman" w:hAnsi="Times New Roman"/>
          <w:sz w:val="24"/>
          <w:szCs w:val="24"/>
        </w:rPr>
        <w:t>że być bezwarunkowa, ponieważ w </w:t>
      </w:r>
      <w:r w:rsidRPr="00CE0DEC">
        <w:rPr>
          <w:rFonts w:ascii="Times New Roman" w:hAnsi="Times New Roman"/>
          <w:sz w:val="24"/>
          <w:szCs w:val="24"/>
        </w:rPr>
        <w:t>trakcie procesu często rozstrzygane są sprawy dotyczące prywatnych kwestii (majątkowych lub niemajątkowych) stron lub uczestników postępowania. Ujawnienie pewnych informacji mogłoby powodować szkodę nie tylko w interesie prywatnym, lecz czasami także w publicznym.</w:t>
      </w:r>
    </w:p>
    <w:p w:rsidR="002028CC" w:rsidRPr="00CE0DEC" w:rsidRDefault="002028CC" w:rsidP="002028CC">
      <w:pPr>
        <w:spacing w:after="120" w:line="360" w:lineRule="auto"/>
        <w:ind w:firstLine="709"/>
        <w:jc w:val="both"/>
        <w:rPr>
          <w:rFonts w:ascii="Times New Roman" w:hAnsi="Times New Roman"/>
          <w:sz w:val="24"/>
          <w:szCs w:val="24"/>
        </w:rPr>
      </w:pPr>
      <w:r w:rsidRPr="00CE0DEC">
        <w:rPr>
          <w:rFonts w:ascii="Times New Roman" w:hAnsi="Times New Roman"/>
          <w:sz w:val="24"/>
          <w:szCs w:val="24"/>
        </w:rPr>
        <w:t xml:space="preserve">W rozdziale pierwszym wyjaśniono pojęcia, które są najczęściej używane w pracy doktorskiej, wskazując także różnice między nimi, by uniknąć wątpliwości terminologicznych. Opisano źródła zasady jawności, zawarto uwagi historycznoprawne oraz </w:t>
      </w:r>
      <w:proofErr w:type="spellStart"/>
      <w:r w:rsidRPr="00CE0DEC">
        <w:rPr>
          <w:rFonts w:ascii="Times New Roman" w:hAnsi="Times New Roman"/>
          <w:sz w:val="24"/>
          <w:szCs w:val="24"/>
        </w:rPr>
        <w:t>prawnoporównawcze</w:t>
      </w:r>
      <w:proofErr w:type="spellEnd"/>
      <w:r w:rsidRPr="00CE0DEC">
        <w:rPr>
          <w:rFonts w:ascii="Times New Roman" w:hAnsi="Times New Roman"/>
          <w:sz w:val="24"/>
          <w:szCs w:val="24"/>
        </w:rPr>
        <w:t xml:space="preserve">. Omówiono zasadę jawności unormowaną w Konstytucji RP oraz jej ograniczenia, a ponadto wskazano, </w:t>
      </w:r>
      <w:r>
        <w:rPr>
          <w:rFonts w:ascii="Times New Roman" w:hAnsi="Times New Roman"/>
          <w:sz w:val="24"/>
          <w:szCs w:val="24"/>
        </w:rPr>
        <w:t xml:space="preserve">jak ta zasada unormowana jest w </w:t>
      </w:r>
      <w:r w:rsidRPr="00CE0DEC">
        <w:rPr>
          <w:rFonts w:ascii="Times New Roman" w:hAnsi="Times New Roman"/>
          <w:sz w:val="24"/>
          <w:szCs w:val="24"/>
        </w:rPr>
        <w:t xml:space="preserve">konstytucjach innych państw. Porównano również zasadę jawności z innymi zasadami występującymi w Kodeksie postępowania cywilnego, a także omówiono, jakie rodzaje posiedzeń sądowych występują w tym akcie prawnym. Podjęto również próbę wskazania różnicy w kosztach w postępowaniu niejawnym, postępowaniu jawnym i rozprawie. Jest to niezwykle ważne zagadnienie, ponieważ koszty postępowań sądowych stale się zwiększają (ma na to wpływ inflacja i stale rosnące ceny produktów i usług), co jest bardzo trudną sytuacją dla sądownictwa oraz dla uczestników postępowań. </w:t>
      </w:r>
    </w:p>
    <w:p w:rsidR="002028CC" w:rsidRPr="00CE0DEC" w:rsidRDefault="002028CC" w:rsidP="002028CC">
      <w:pPr>
        <w:spacing w:after="120" w:line="360" w:lineRule="auto"/>
        <w:ind w:firstLine="709"/>
        <w:jc w:val="both"/>
        <w:rPr>
          <w:rFonts w:ascii="Times New Roman" w:hAnsi="Times New Roman"/>
          <w:sz w:val="24"/>
          <w:szCs w:val="24"/>
        </w:rPr>
      </w:pPr>
      <w:r w:rsidRPr="00CE0DEC">
        <w:rPr>
          <w:rFonts w:ascii="Times New Roman" w:hAnsi="Times New Roman"/>
          <w:sz w:val="24"/>
          <w:szCs w:val="24"/>
        </w:rPr>
        <w:t xml:space="preserve">W drugim rozdziale wskazano oraz omówiono regulacje niejawności występującej w przebiegu postępowania procesowego rozpoznawczego. Na początku wyjaśniono, czym jest posiedzenie sądowe oraz jakie są jego rodzaje, zbadano odpowiednią terminologię. Poza </w:t>
      </w:r>
      <w:r w:rsidRPr="00CE0DEC">
        <w:rPr>
          <w:rFonts w:ascii="Times New Roman" w:hAnsi="Times New Roman"/>
          <w:sz w:val="24"/>
          <w:szCs w:val="24"/>
        </w:rPr>
        <w:lastRenderedPageBreak/>
        <w:t xml:space="preserve">samym posiedzeniem została omówiona mediacja, unormowania dotyczące pozwu i organizacji postępowania, a także wybrane postępowania odrębne. Na koniec omówione zostało postępowanie przed sądem drugiej instancji. Zwrócono szczególną uwagę na aspekt niejawności, który jest obecny podczas rozpoznawania spraw w postępowaniu procesowym. </w:t>
      </w:r>
    </w:p>
    <w:p w:rsidR="002028CC" w:rsidRPr="00CE0DEC" w:rsidRDefault="002028CC" w:rsidP="002028CC">
      <w:pPr>
        <w:spacing w:after="120" w:line="360" w:lineRule="auto"/>
        <w:ind w:firstLine="709"/>
        <w:jc w:val="both"/>
        <w:rPr>
          <w:rFonts w:ascii="Times New Roman" w:hAnsi="Times New Roman"/>
          <w:sz w:val="24"/>
          <w:szCs w:val="24"/>
        </w:rPr>
      </w:pPr>
      <w:r w:rsidRPr="00CE0DEC">
        <w:rPr>
          <w:rFonts w:ascii="Times New Roman" w:hAnsi="Times New Roman"/>
          <w:sz w:val="24"/>
          <w:szCs w:val="24"/>
        </w:rPr>
        <w:t>Trzeci rozdział omawia niejawność w przebiegu postępowania nieprocesowego rozpoznawczego. Mamy tu całkowicie inną sytuację niż w procesie, ponieważ sprawy należące do tego trybu co do zasady nie są rozpatrywane na rozprawie. Poza uwagami historycznoprawnymi szczególnej uwadze poddano właściwość miejscową, posiedzenia sądowe oraz wybrane rodzaje spraw. Na koniec również omówiono postępowanie przed sądem drugiej instancji. Skupiono się na omówieniu unormowań szczególnych, ponieważ w tym rodzaju postępowania stosuje się odpowiednio przepisy o procesie, chyba że przepisy szczególne stanowią inaczej (art. 13 § 2 k.p.c.).</w:t>
      </w:r>
    </w:p>
    <w:p w:rsidR="002028CC" w:rsidRPr="00CE0DEC" w:rsidRDefault="002028CC" w:rsidP="002028CC">
      <w:pPr>
        <w:spacing w:after="120" w:line="360" w:lineRule="auto"/>
        <w:ind w:firstLine="709"/>
        <w:jc w:val="both"/>
        <w:rPr>
          <w:rFonts w:ascii="Times New Roman" w:hAnsi="Times New Roman"/>
          <w:sz w:val="24"/>
          <w:szCs w:val="24"/>
        </w:rPr>
      </w:pPr>
      <w:r w:rsidRPr="00CE0DEC">
        <w:rPr>
          <w:rFonts w:ascii="Times New Roman" w:hAnsi="Times New Roman"/>
          <w:sz w:val="24"/>
          <w:szCs w:val="24"/>
        </w:rPr>
        <w:t xml:space="preserve">Rozdział czwarty dotyczy rodzajów orzeczeń wydawanych w procesie. </w:t>
      </w:r>
      <w:r w:rsidR="00955754" w:rsidRPr="00CE0DEC">
        <w:rPr>
          <w:rFonts w:ascii="Times New Roman" w:hAnsi="Times New Roman"/>
          <w:sz w:val="24"/>
          <w:szCs w:val="24"/>
        </w:rPr>
        <w:t xml:space="preserve">Omówiono sposoby wydania poszczególnych orzeczeń oraz elementy niejawności. </w:t>
      </w:r>
      <w:r w:rsidRPr="00CE0DEC">
        <w:rPr>
          <w:rFonts w:ascii="Times New Roman" w:hAnsi="Times New Roman"/>
          <w:sz w:val="24"/>
          <w:szCs w:val="24"/>
        </w:rPr>
        <w:t xml:space="preserve">Szczególnej uwadze poddano wyroki, ponieważ podczas czynności prowadzących do jego wydania niejawność jest przeważająca. Ponadto szczególne miejsce w tym rozdziale mają również postanowienia, które zawsze mogą być wydane na posiedzeniu niejawnym na mocy art. 148 § 3 k.p.c. </w:t>
      </w:r>
      <w:r w:rsidR="00955754" w:rsidRPr="00CE0DEC">
        <w:rPr>
          <w:rFonts w:ascii="Times New Roman" w:hAnsi="Times New Roman"/>
          <w:sz w:val="24"/>
          <w:szCs w:val="24"/>
        </w:rPr>
        <w:t xml:space="preserve">Z uwagi na możliwość wydania każdego postanowienia na posiedzeniu niejawnym wzrasta ilość niejawności w procesie cywilnym. </w:t>
      </w:r>
    </w:p>
    <w:p w:rsidR="002028CC" w:rsidRPr="00CE0DEC" w:rsidRDefault="002028CC" w:rsidP="002028CC">
      <w:pPr>
        <w:spacing w:after="120" w:line="360" w:lineRule="auto"/>
        <w:ind w:firstLine="709"/>
        <w:jc w:val="both"/>
        <w:rPr>
          <w:rFonts w:ascii="Times New Roman" w:hAnsi="Times New Roman"/>
          <w:sz w:val="24"/>
          <w:szCs w:val="24"/>
        </w:rPr>
      </w:pPr>
      <w:r w:rsidRPr="00CE0DEC">
        <w:rPr>
          <w:rFonts w:ascii="Times New Roman" w:hAnsi="Times New Roman"/>
          <w:sz w:val="24"/>
          <w:szCs w:val="24"/>
        </w:rPr>
        <w:t>W rozdziale piątym opisano orzeczenia wydawane w postępowaniu nieprocesowym. Szczególną uwagę poświęcono postanowieniom, które, w zależności od trybu postępowania, rozstrzygają co do istoty sprawy lub są orzeczeniami o</w:t>
      </w:r>
      <w:r>
        <w:rPr>
          <w:rFonts w:ascii="Times New Roman" w:hAnsi="Times New Roman"/>
          <w:sz w:val="24"/>
          <w:szCs w:val="24"/>
        </w:rPr>
        <w:t> </w:t>
      </w:r>
      <w:r w:rsidRPr="00CE0DEC">
        <w:rPr>
          <w:rFonts w:ascii="Times New Roman" w:hAnsi="Times New Roman"/>
          <w:sz w:val="24"/>
          <w:szCs w:val="24"/>
        </w:rPr>
        <w:t xml:space="preserve">proceduralnym charakterze. Podobnie jak w rozdziale drugim skupiono się tu na unormowaniach szczególnych, związanych z niejawnością, typowych dla tego trybu. </w:t>
      </w:r>
    </w:p>
    <w:p w:rsidR="002028CC" w:rsidRPr="00CE0DEC" w:rsidRDefault="002028CC" w:rsidP="002028CC">
      <w:pPr>
        <w:spacing w:after="120" w:line="360" w:lineRule="auto"/>
        <w:ind w:firstLine="709"/>
        <w:jc w:val="both"/>
        <w:rPr>
          <w:rFonts w:ascii="Times New Roman" w:hAnsi="Times New Roman"/>
          <w:sz w:val="24"/>
          <w:szCs w:val="24"/>
          <w:u w:val="single"/>
        </w:rPr>
      </w:pPr>
      <w:r w:rsidRPr="00CE0DEC">
        <w:rPr>
          <w:rFonts w:ascii="Times New Roman" w:hAnsi="Times New Roman"/>
          <w:sz w:val="24"/>
          <w:szCs w:val="24"/>
        </w:rPr>
        <w:t>Ostatni, szósty rozdział omawia środki zaskarżenia występujące w postępowaniu cywilnym rozpoznawczym. Po wstępie do tematu (omówieniu pojęć, wskazaniu podziałów i rodzajów wszystkich środków) wyszczególniono środki zaskarżenia, które występują – w pierwszej kolejności – w postępo</w:t>
      </w:r>
      <w:r>
        <w:rPr>
          <w:rFonts w:ascii="Times New Roman" w:hAnsi="Times New Roman"/>
          <w:sz w:val="24"/>
          <w:szCs w:val="24"/>
        </w:rPr>
        <w:t>waniu procesowym, następnie – w</w:t>
      </w:r>
      <w:r w:rsidR="00955754">
        <w:rPr>
          <w:rFonts w:ascii="Times New Roman" w:hAnsi="Times New Roman"/>
          <w:sz w:val="24"/>
          <w:szCs w:val="24"/>
        </w:rPr>
        <w:t xml:space="preserve"> </w:t>
      </w:r>
      <w:r w:rsidRPr="00CE0DEC">
        <w:rPr>
          <w:rFonts w:ascii="Times New Roman" w:hAnsi="Times New Roman"/>
          <w:sz w:val="24"/>
          <w:szCs w:val="24"/>
        </w:rPr>
        <w:t xml:space="preserve">drugiej kolejności – w postępowaniu nieprocesowym. Skupiono się przy tym wszystkim na niejawności, która towarzyszy podczas rozpatrywania wskazanych środków zaskarżenia. </w:t>
      </w:r>
    </w:p>
    <w:p w:rsidR="002028CC" w:rsidRPr="00CE0DEC" w:rsidRDefault="002028CC" w:rsidP="002028CC">
      <w:pPr>
        <w:spacing w:after="120" w:line="360" w:lineRule="auto"/>
        <w:ind w:firstLine="709"/>
        <w:jc w:val="both"/>
        <w:rPr>
          <w:rFonts w:ascii="Times New Roman" w:hAnsi="Times New Roman"/>
          <w:sz w:val="24"/>
          <w:szCs w:val="24"/>
        </w:rPr>
      </w:pPr>
      <w:bookmarkStart w:id="1" w:name="_GoBack"/>
      <w:r w:rsidRPr="00CE0DEC">
        <w:rPr>
          <w:rFonts w:ascii="Times New Roman" w:hAnsi="Times New Roman"/>
          <w:sz w:val="24"/>
          <w:szCs w:val="24"/>
        </w:rPr>
        <w:t xml:space="preserve">Całość dopełnia podsumowanie i wnioski. </w:t>
      </w:r>
      <w:r>
        <w:rPr>
          <w:rFonts w:ascii="Times New Roman" w:hAnsi="Times New Roman"/>
          <w:sz w:val="24"/>
          <w:szCs w:val="24"/>
        </w:rPr>
        <w:t>W</w:t>
      </w:r>
      <w:r w:rsidRPr="00CE0DEC">
        <w:rPr>
          <w:rFonts w:ascii="Times New Roman" w:hAnsi="Times New Roman"/>
          <w:sz w:val="24"/>
          <w:szCs w:val="24"/>
        </w:rPr>
        <w:t xml:space="preserve">skazano </w:t>
      </w:r>
      <w:r>
        <w:rPr>
          <w:rFonts w:ascii="Times New Roman" w:hAnsi="Times New Roman"/>
          <w:sz w:val="24"/>
          <w:szCs w:val="24"/>
        </w:rPr>
        <w:t xml:space="preserve">w nich </w:t>
      </w:r>
      <w:r w:rsidRPr="00CE0DEC">
        <w:rPr>
          <w:rFonts w:ascii="Times New Roman" w:hAnsi="Times New Roman"/>
          <w:sz w:val="24"/>
          <w:szCs w:val="24"/>
        </w:rPr>
        <w:t xml:space="preserve">na czynniki, mające wpływ na wzrost znaczenia niejawności w postępowaniu cywilnym rozpoznawczym. </w:t>
      </w:r>
      <w:r w:rsidR="00955754" w:rsidRPr="00CE0DEC">
        <w:rPr>
          <w:rFonts w:ascii="Times New Roman" w:hAnsi="Times New Roman"/>
          <w:sz w:val="24"/>
          <w:szCs w:val="24"/>
        </w:rPr>
        <w:t xml:space="preserve">Niejawność </w:t>
      </w:r>
      <w:r w:rsidR="00955754" w:rsidRPr="00CE0DEC">
        <w:rPr>
          <w:rFonts w:ascii="Times New Roman" w:hAnsi="Times New Roman"/>
          <w:sz w:val="24"/>
          <w:szCs w:val="24"/>
        </w:rPr>
        <w:lastRenderedPageBreak/>
        <w:t xml:space="preserve">postępowania cywilnego rozpoznawczego jest problemem naukowym, który budzi wątpliwości, i warto prowadzić nad nim badania. </w:t>
      </w:r>
      <w:r w:rsidRPr="00CE0DEC">
        <w:rPr>
          <w:rFonts w:ascii="Times New Roman" w:hAnsi="Times New Roman"/>
          <w:sz w:val="24"/>
          <w:szCs w:val="24"/>
        </w:rPr>
        <w:t xml:space="preserve">Omówiono w tym kontekście </w:t>
      </w:r>
      <w:r w:rsidR="00955754">
        <w:rPr>
          <w:rFonts w:ascii="Times New Roman" w:hAnsi="Times New Roman"/>
          <w:sz w:val="24"/>
          <w:szCs w:val="24"/>
        </w:rPr>
        <w:t>także</w:t>
      </w:r>
      <w:r w:rsidRPr="00CE0DEC">
        <w:rPr>
          <w:rFonts w:ascii="Times New Roman" w:hAnsi="Times New Roman"/>
          <w:sz w:val="24"/>
          <w:szCs w:val="24"/>
        </w:rPr>
        <w:t xml:space="preserve"> konsekwencje prawne epidemii, </w:t>
      </w:r>
      <w:r>
        <w:rPr>
          <w:rFonts w:ascii="Times New Roman" w:hAnsi="Times New Roman"/>
          <w:sz w:val="24"/>
          <w:szCs w:val="24"/>
        </w:rPr>
        <w:t xml:space="preserve">a </w:t>
      </w:r>
      <w:r w:rsidRPr="00CE0DEC">
        <w:rPr>
          <w:rFonts w:ascii="Times New Roman" w:hAnsi="Times New Roman"/>
          <w:sz w:val="24"/>
          <w:szCs w:val="24"/>
        </w:rPr>
        <w:t>także informatyzację postępowania cywilnego i rozwój nowych technologii.</w:t>
      </w:r>
      <w:bookmarkEnd w:id="1"/>
      <w:r w:rsidRPr="00CE0DEC">
        <w:rPr>
          <w:rFonts w:ascii="Times New Roman" w:hAnsi="Times New Roman"/>
          <w:sz w:val="24"/>
          <w:szCs w:val="24"/>
        </w:rPr>
        <w:t xml:space="preserve"> </w:t>
      </w:r>
    </w:p>
    <w:p w:rsidR="00955754" w:rsidRDefault="00955754" w:rsidP="00955754">
      <w:pPr>
        <w:spacing w:after="120" w:line="360" w:lineRule="auto"/>
        <w:ind w:firstLine="709"/>
        <w:jc w:val="both"/>
        <w:rPr>
          <w:rFonts w:ascii="Times New Roman" w:hAnsi="Times New Roman"/>
          <w:sz w:val="24"/>
          <w:szCs w:val="24"/>
        </w:rPr>
      </w:pPr>
    </w:p>
    <w:p w:rsidR="009C39F2" w:rsidRPr="009C39F2" w:rsidRDefault="009C39F2" w:rsidP="00955754">
      <w:pPr>
        <w:spacing w:after="120" w:line="360" w:lineRule="auto"/>
        <w:ind w:firstLine="709"/>
        <w:jc w:val="both"/>
        <w:rPr>
          <w:rFonts w:ascii="Times New Roman" w:hAnsi="Times New Roman"/>
          <w:sz w:val="24"/>
          <w:szCs w:val="24"/>
        </w:rPr>
      </w:pPr>
    </w:p>
    <w:sectPr w:rsidR="009C39F2" w:rsidRPr="009C39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8CC"/>
    <w:rsid w:val="0004780C"/>
    <w:rsid w:val="002028CC"/>
    <w:rsid w:val="007A19B5"/>
    <w:rsid w:val="00955754"/>
    <w:rsid w:val="009C39F2"/>
    <w:rsid w:val="00CE0FC8"/>
    <w:rsid w:val="00D945B4"/>
    <w:rsid w:val="00DE1F14"/>
    <w:rsid w:val="00FB01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0C172"/>
  <w15:chartTrackingRefBased/>
  <w15:docId w15:val="{E7A9EFE2-38EF-4729-88DC-0E8065DBB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Pages>
  <Words>717</Words>
  <Characters>4302</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
    </vt:vector>
  </TitlesOfParts>
  <Company>Wydawnictwo C.H.Beck sp. z o.o.</Company>
  <LinksUpToDate>false</LinksUpToDate>
  <CharactersWithSpaces>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Beczek</dc:creator>
  <cp:keywords/>
  <dc:description/>
  <cp:lastModifiedBy>Wioleta Beczek</cp:lastModifiedBy>
  <cp:revision>3</cp:revision>
  <dcterms:created xsi:type="dcterms:W3CDTF">2022-07-04T09:07:00Z</dcterms:created>
  <dcterms:modified xsi:type="dcterms:W3CDTF">2022-07-04T11:33:00Z</dcterms:modified>
</cp:coreProperties>
</file>